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Times New Roman" w:hAnsi="Times New Roman"/>
          <w:color w:val="000000"/>
        </w:rPr>
        <w:t>Conclusiones</w:t>
      </w:r>
    </w:p>
    <w:p>
      <w:pPr>
        <w:pStyle w:val="Heading1"/>
      </w:pPr>
      <w:r>
        <w:rPr>
          <w:rFonts w:ascii="Times New Roman" w:hAnsi="Times New Roman"/>
          <w:color w:val="000000"/>
        </w:rPr>
        <w:t>Conclusiones del análisis de ciclo de vida</w:t>
      </w:r>
    </w:p>
    <w:p>
      <w:pPr>
        <w:spacing w:line="240" w:lineRule="auto" w:before="0" w:after="0"/>
        <w:ind w:left="100" w:firstLine="719"/>
        <w:jc w:val="both"/>
      </w:pPr>
      <w:r>
        <w:rPr>
          <w:rFonts w:ascii="Times New Roman" w:hAnsi="Times New Roman"/>
          <w:sz w:val="24"/>
        </w:rPr>
        <w:t>El inventario de ciclo de vida representó y cuantificó las rutas diferenciadas de manejo del estiércol en los dos escenarios, a partir de un flujo anual común de 26 278,725181 kg de estiércol fresco. En el Escenario A, 66,69 % se destinó a precomposteo y lombricompostaje, mientras 33,31 % se incorporó a las aguas verdes; en el Escenario B, el 100 % ingresó al sistema de purines. De este modo, el inventario caracterizó las trayectorias de manejo y los flujos asociados a cada alternativa estudiada.</w:t>
      </w:r>
    </w:p>
    <w:p>
      <w:pPr>
        <w:spacing w:line="240" w:lineRule="auto" w:before="0" w:after="0"/>
        <w:ind w:left="100" w:firstLine="719"/>
        <w:jc w:val="both"/>
      </w:pPr>
      <w:r>
        <w:rPr>
          <w:rFonts w:ascii="Times New Roman" w:hAnsi="Times New Roman"/>
          <w:sz w:val="24"/>
        </w:rPr>
        <w:t>Las cargas ambientales se concentraron en etapas específicas, que variaron según el escenario y la categoría. En calentamiento global, A3: Almacenamiento de aguas verdes aportó 69,36 % del total del Escenario A y B1: Almacenamiento de purines aportó 98,03 % del total del Escenario B. Para eutrofización, las mayores contribuciones correspondieron a A1: Precomposteo (52,45 % del total de A) y B1: Almacenamiento de purines (70,55 % del total de B). La evaluación por etapa identificó así patrones de concentración diferenciados entre las alternativas estudiadas.</w:t>
      </w:r>
    </w:p>
    <w:p>
      <w:pPr>
        <w:spacing w:line="240" w:lineRule="auto" w:before="0" w:after="0"/>
        <w:ind w:left="100" w:firstLine="719"/>
        <w:jc w:val="both"/>
      </w:pPr>
      <w:r>
        <w:rPr>
          <w:rFonts w:ascii="Times New Roman" w:hAnsi="Times New Roman"/>
          <w:sz w:val="24"/>
        </w:rPr>
        <w:t>Para calentamiento global, el Escenario B presentó el mayor impacto por unidad funcional: 0,346 kg CO₂-eq/kg de estiércol fresco, frente a 0,163 kg CO₂-eq/kg en el Escenario A. La diferencia fue de 112,39 % respecto a A, lo que evidenció un menor indicador para el Escenario A bajo las condiciones estudiadas.</w:t>
      </w:r>
    </w:p>
    <w:p>
      <w:pPr>
        <w:spacing w:line="240" w:lineRule="auto" w:before="0" w:after="0"/>
        <w:ind w:left="100" w:firstLine="719"/>
        <w:jc w:val="both"/>
      </w:pPr>
      <w:r>
        <w:rPr>
          <w:rFonts w:ascii="Times New Roman" w:hAnsi="Times New Roman"/>
          <w:sz w:val="24"/>
        </w:rPr>
        <w:t>Para eutrofización, el Escenario B también presentó el mayor impacto por unidad funcional: 0,000769 kg PO₄-eq/kg de estiércol fresco, en comparación con 0,000660 kg PO₄-eq/kg en el Escenario A. La diferencia de 16,43 % respecto a A mostró que el Escenario A también alcanzó el menor indicador de eutrofización en el sistema evaluado.</w:t>
      </w:r>
    </w:p>
    <w:p>
      <w:pPr>
        <w:spacing w:line="240" w:lineRule="auto" w:before="0" w:after="0"/>
        <w:ind w:left="100" w:firstLine="719"/>
        <w:jc w:val="both"/>
      </w:pPr>
      <w:r>
        <w:rPr>
          <w:rFonts w:ascii="Times New Roman" w:hAnsi="Times New Roman"/>
          <w:sz w:val="24"/>
        </w:rPr>
        <w:t>En conjunto, el ACV permitió estimar el desempeño ambiental de las dos alternativas de manejo en la lechería estudiada. Bajo la misma unidad funcional y las condiciones modeladas, el Escenario A presentó menores indicadores que el Escenario B tanto para calentamiento global como para eutrofización. Este resultado se circunscribió al sistema evaluado y no implicó la superioridad universal de una alternativa en otras lecherías o condiciones operativas.</w:t>
      </w:r>
    </w:p>
    <w:sectPr w:rsidR="00FC693F" w:rsidRPr="0006063C" w:rsidSect="00034616">
      <w:pgSz w:w="12240" w:h="15840"/>
      <w:pgMar w:top="1500" w:right="1320" w:bottom="280" w:left="13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before="0" w:after="0"/>
      <w:ind w:left="100" w:firstLine="719"/>
      <w:jc w:val="both"/>
    </w:pPr>
    <w:rPr>
      <w:rFonts w:ascii="Times New Roman" w:hAnsi="Times New Roman" w:eastAsia="Times New Roman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0"/>
      <w:ind w:left="0" w:firstLine="0"/>
      <w:jc w:val="both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i w:val="0"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0" w:after="0"/>
      <w:ind w:left="0" w:firstLine="0"/>
      <w:jc w:val="both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i w:val="0"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0" w:after="0"/>
      <w:ind w:left="0" w:firstLine="0"/>
      <w:jc w:val="both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i w:val="0"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240" w:lineRule="auto" w:before="0"/>
      <w:ind w:left="0" w:firstLine="0"/>
      <w:contextualSpacing/>
      <w:jc w:val="center"/>
    </w:pPr>
    <w:rPr>
      <w:rFonts w:asciiTheme="majorHAnsi" w:eastAsiaTheme="majorEastAsia" w:hAnsiTheme="majorHAnsi" w:cstheme="majorBidi" w:ascii="Times New Roman" w:hAnsi="Times New Roman" w:eastAsia="Times New Roman"/>
      <w:b w:val="0"/>
      <w:i/>
      <w:color w:val="000000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ótuloacadémico">
    <w:name w:val="Rótulo académico"/>
    <w:pPr>
      <w:spacing w:before="120" w:after="0"/>
      <w:ind w:left="0" w:firstLine="0"/>
      <w:jc w:val="both"/>
    </w:pPr>
    <w:rPr>
      <w:rFonts w:ascii="Times New Roman" w:hAnsi="Times New Roman" w:eastAsia="Times New Roman"/>
      <w:b/>
      <w:i w:val="0"/>
      <w:color w:val="000000"/>
      <w:sz w:val="24"/>
    </w:rPr>
  </w:style>
  <w:style w:type="paragraph" w:customStyle="1" w:styleId="Descripciónacadémica">
    <w:name w:val="Descripción académica"/>
    <w:pPr>
      <w:spacing w:before="0" w:after="120"/>
      <w:ind w:left="0" w:firstLine="0"/>
      <w:jc w:val="both"/>
    </w:pPr>
    <w:rPr>
      <w:rFonts w:ascii="Times New Roman" w:hAnsi="Times New Roman" w:eastAsia="Times New Roman"/>
      <w:b w:val="0"/>
      <w:i/>
      <w:color w:val="000000"/>
      <w:sz w:val="2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