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LASA para estiércol fresco y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húmedad y materia seca por gravimetría a 105 °C durante 16 h. El CIA determinó N y C del precompostado por Dumas sobre muestra seca o acondicionada a 80 °C durante 48 h. El porcentaje de N se combinó con la materia seca independiente de Bioenergía para construir el benchmark húmedo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benchmark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A2: Lombricompostaje se representó mediante la categoría IPCC de compostaje en hileras pasivas como aproximación disponible. La fracción de pérdida de N por lixiviación se estableció en cero para las condiciones del sistema estudiado, sin cambiar el factor genérico de la categoría. Las ecuaciones siguientes documentan el núcleo necesario para reproducir la lógica vigente; los factores específicos por etapa se presentan en la tabla metodológica correspondiente.</w:t>
      </w:r>
    </w:p>
    <w:p>
      <w:pPr>
        <w:pStyle w:val="Heading3"/>
      </w:pPr>
      <w:r>
        <w:rPr>
          <w:rFonts w:ascii="Times New Roman" w:hAnsi="Times New Roman"/>
          <w:color w:val="000000"/>
        </w:rPr>
        <w:t>4.4.1 Metano de las etapas de manejo</w:t>
      </w:r>
    </w:p>
    <w:p>
      <w:pPr>
        <w:ind w:left="0" w:firstLine="0"/>
        <w:jc w:val="center"/>
      </w:pPr>
      <w:r>
        <w:rPr>
          <w:rFonts w:ascii="Cambria Math" w:hAnsi="Cambria Math"/>
        </w:rPr>
        <w:t>m_CH₄ = m_manejada × VS_húmeda × B₀ × 0,67 × (MCF/100) × AWMS    (1)</w:t>
      </w:r>
    </w:p>
    <w:p>
      <w:pPr>
        <w:spacing w:line="240" w:lineRule="auto" w:before="0" w:after="0"/>
        <w:ind w:left="100" w:firstLine="719"/>
        <w:jc w:val="both"/>
      </w:pPr>
      <w:r>
        <w:rPr>
          <w:rFonts w:ascii="Times New Roman" w:hAnsi="Times New Roman"/>
          <w:sz w:val="24"/>
        </w:rPr>
        <w:t>m_CH₄ es la emisión de metano de la etapa; m_manejada es la masa húmeda manejada; VS_húmeda es la fracción de sólidos volátiles en base húmeda; B₀ es la capacidad máxima de producción de metano; MCF es el factor de conversión de metano y AWMS es la fracción manejada por el sistema.</w:t>
      </w:r>
    </w:p>
    <w:p>
      <w:pPr>
        <w:pStyle w:val="Heading3"/>
      </w:pPr>
      <w:r>
        <w:rPr>
          <w:rFonts w:ascii="Times New Roman" w:hAnsi="Times New Roman"/>
          <w:color w:val="000000"/>
        </w:rPr>
        <w:t>4.4.2 Balance secuencial de N total y TAN</w:t>
      </w:r>
    </w:p>
    <w:p>
      <w:pPr>
        <w:ind w:left="0" w:firstLine="0"/>
        <w:jc w:val="center"/>
      </w:pPr>
      <w:r>
        <w:rPr>
          <w:rFonts w:ascii="Cambria Math" w:hAnsi="Cambria Math"/>
        </w:rPr>
        <w:t>TAN_fresco = 0,60 × N_total,fresco    (2)</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TAN_disponible = TAN_entrada + N_mineralizado    (3)</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ind w:left="0" w:firstLine="0"/>
        <w:jc w:val="center"/>
      </w:pPr>
      <w:r>
        <w:rPr>
          <w:rFonts w:ascii="Cambria Math" w:hAnsi="Cambria Math"/>
        </w:rPr>
        <w:t>N_j = TAN_disponible × f_j,  j ∈ {NH₃-N, NO-N, N₂-N}    (4)</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con el factor específico de Komakech et al. (2016), mientras NO-N y N₂-N conservan provisionalmente los factores sólidos EMEP/EEA.</w:t>
      </w:r>
    </w:p>
    <w:p>
      <w:pPr>
        <w:ind w:left="0" w:firstLine="0"/>
        <w:jc w:val="center"/>
      </w:pPr>
      <w:r>
        <w:rPr>
          <w:rFonts w:ascii="Cambria Math" w:hAnsi="Cambria Math"/>
        </w:rPr>
        <w:t>N_N₂O–N,directo = N_total,entrada × EF₃    (5)</w:t>
      </w:r>
    </w:p>
    <w:p>
      <w:pPr>
        <w:ind w:left="0" w:firstLine="0"/>
        <w:jc w:val="center"/>
      </w:pPr>
      <w:r>
        <w:rPr>
          <w:rFonts w:ascii="Cambria Math" w:hAnsi="Cambria Math"/>
        </w:rPr>
        <w:t>m_N₂O,directo = N_N₂O–N,directo × 44/28    (6)</w:t>
      </w:r>
    </w:p>
    <w:p>
      <w:pPr>
        <w:ind w:left="0" w:firstLine="0"/>
        <w:jc w:val="center"/>
      </w:pPr>
      <w:r>
        <w:rPr>
          <w:rFonts w:ascii="Cambria Math" w:hAnsi="Cambria Math"/>
        </w:rPr>
        <w:t>N_total,salida = N_total,entrada − N_NH₃ − N_NOx − N_N₂ − N_N₂O–N,directo − N_pérdida,hídrica    (7)</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ind w:left="0" w:firstLine="0"/>
        <w:jc w:val="center"/>
      </w:pPr>
      <w:r>
        <w:rPr>
          <w:rFonts w:ascii="Cambria Math" w:hAnsi="Cambria Math"/>
        </w:rPr>
        <w:t>N_precursor,vol = N_NH₃ + N_NOx    (8)</w:t>
      </w:r>
    </w:p>
    <w:p>
      <w:pPr>
        <w:ind w:left="0" w:firstLine="0"/>
        <w:jc w:val="center"/>
      </w:pPr>
      <w:r>
        <w:rPr>
          <w:rFonts w:ascii="Cambria Math" w:hAnsi="Cambria Math"/>
        </w:rPr>
        <w:t>m_N₂O,ind,vol = N_precursor,vol × EF₄ × 44/28    (9)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ind w:left="0" w:firstLine="0"/>
        <w:jc w:val="center"/>
      </w:pPr>
      <w:r>
        <w:rPr>
          <w:rFonts w:ascii="Cambria Math" w:hAnsi="Cambria Math"/>
        </w:rPr>
        <w:t>N_drenaje,A1 = N_total,A1 × FracLeachMS_A1    (10)</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ind w:left="0" w:firstLine="0"/>
        <w:jc w:val="center"/>
      </w:pPr>
      <w:r>
        <w:rPr>
          <w:rFonts w:ascii="Cambria Math" w:hAnsi="Cambria Math"/>
        </w:rPr>
        <w:t>N_NH₃,aplic = TAN_aplicado × f_NH₃;  N_NOx,aplic = (N_aplicado × f_NO₂) × 14/46    (11)</w:t>
      </w:r>
    </w:p>
    <w:p>
      <w:pPr>
        <w:ind w:left="0" w:firstLine="0"/>
        <w:jc w:val="center"/>
      </w:pPr>
      <w:r>
        <w:rPr>
          <w:rFonts w:ascii="Cambria Math" w:hAnsi="Cambria Math"/>
        </w:rPr>
        <w:t>m_N₂O,directo,suelo = N_aplicado × EF₁ × 44/28    (12)</w:t>
      </w:r>
    </w:p>
    <w:p>
      <w:pPr>
        <w:ind w:left="0" w:firstLine="0"/>
        <w:jc w:val="center"/>
      </w:pPr>
      <w:r>
        <w:rPr>
          <w:rFonts w:ascii="Cambria Math" w:hAnsi="Cambria Math"/>
        </w:rPr>
        <w:t>N_lix,esc = N_entrada,suelo × FracLEACH_suelo    (13)</w:t>
      </w:r>
    </w:p>
    <w:p>
      <w:pPr>
        <w:ind w:left="0" w:firstLine="0"/>
        <w:jc w:val="center"/>
      </w:pPr>
      <w:r>
        <w:rPr>
          <w:rFonts w:ascii="Cambria Math" w:hAnsi="Cambria Math"/>
        </w:rPr>
        <w:t>m_NO₃⁻ = N_lix,esc × 62/14    (14)</w:t>
      </w:r>
    </w:p>
    <w:p>
      <w:pPr>
        <w:ind w:left="0" w:firstLine="0"/>
        <w:jc w:val="center"/>
      </w:pPr>
      <w:r>
        <w:rPr>
          <w:rFonts w:ascii="Cambria Math" w:hAnsi="Cambria Math"/>
        </w:rPr>
        <w:t>m_N₂O,ind,lix = N_lix,esc × EF₅ × 44/28    (15)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ind w:left="0" w:firstLine="0"/>
        <w:jc w:val="center"/>
      </w:pPr>
      <w:r>
        <w:rPr>
          <w:rFonts w:ascii="Cambria Math" w:hAnsi="Cambria Math"/>
        </w:rPr>
        <w:t>I_c = Σᵢ (m_i × CF_i,c)    (16)</w:t>
      </w:r>
    </w:p>
    <w:p>
      <w:pPr>
        <w:spacing w:line="240" w:lineRule="auto" w:before="0" w:after="0"/>
        <w:ind w:left="100" w:firstLine="719"/>
        <w:jc w:val="both"/>
      </w:pPr>
      <w:r>
        <w:rPr>
          <w:rFonts w:ascii="Times New Roman" w:hAnsi="Times New Roman"/>
          <w:sz w:val="24"/>
        </w:rPr>
        <w:t>I_c es el indicador de la categoría c, m_i es la masa del flujo elemental i y CF_i,c es su factor de caracterización en esa categoría.</w:t>
      </w:r>
    </w:p>
    <w:p>
      <w:pPr>
        <w:ind w:left="0" w:firstLine="0"/>
        <w:jc w:val="center"/>
      </w:pPr>
      <w:r>
        <w:rPr>
          <w:rFonts w:ascii="Cambria Math" w:hAnsi="Cambria Math"/>
        </w:rPr>
        <w:t>CC_total = CC_manejo + CC_electricidad + CC_diésel    (17)</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el uso de categorías metodológicas aproximadas para A2 y la extrapolación de observaciones operativas puntuales. Estas limitaciones se mantienen explícitas y se revisarán después de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respaldan la selección y la interpretación de los factores empleados. La revisión bibliográfica final deberá cotejar los datos editoriales pendientes del registro integral.</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Antes de la versión final se requiere una evaluación acotada, de una variable por vez, sobre los supuestos que controlan las etapas dominantes y con intervalos respaldados por las fuentes vigentes. La consistencia debe verificarse además mediante cierre de balances, igualdad del flujo funcional, integridad temporal de la corrida y estabilidad de la dirección comparativa. La selección de intervalos se definirá después de M3 para evitar evaluar una caracterización experimental todavía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