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63,42 % del total del Escenario A y B1: Almacenamiento de purines aportó 97,50 % del total del Escenario B. Para eutrofización, las mayores contribuciones correspondieron a A1: Precomposteo (40,88 % del total de A) y B1: Almacenamiento de purines (73,26 %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0,332 kg CO₂-eq/kg de estiércol fresco manejado, frente a 0,170 kg CO₂-eq/kg de estiércol fresco manejado en el Escenario A. La diferencia B menos A fue de 95,26 %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A presentó el mayor impacto por unidad funcional: 0,001181 kg PO₄-eq/kg de estiércol fresco manejado, en comparación con 0,001032 kg PO₄-eq/kg de estiércol fresco manejado en el Escenario B. Bajo el supuesto de representación del nitrógeno potencialmente eutrofizante adoptado en el estudio, la diferencia B menos A fue de -12,60 % respecto a A y mostró que el Escenario B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B presentó el menor indicador de eutrofización.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