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sus procesos de fondo permanecen pendientes.</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63,53 % del total del Escenario A y B1: Almacenamiento de purines aportó 88,80 % del total del Escenario B. Para eutrofización, las mayores contribuciones correspondieron a A4: Aplicación de aguas verdes en campos de pastoreo (70,63 % del total de A) y B2: Aplicación de purines en campo de pastoreo (93,14 %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0,220 kg CO₂-eq/kg de estiércol fresco manejado, frente a 0,102 kg CO₂-eq/kg de estiércol fresco manejado en el Escenario A. La diferencia B menos A fue de 114,75 %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La eutrofización terrestre se evaluó separadamente en mol N-eq.</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Environmental Footprint 3.1 caracterizó las emisiones directas; la eutrofización terrestre se mantuvo separada en mol N-eq.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