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En el Escenario A, 66,69 % del estiércol depositado se recolectó y entró primero a A1: Precomposteo; la masa resultante de esa transformación continuó posteriormente hacia A2: Lombricompostaje. El 33,31 % restante permaneció adherido al piso, se incorporó a las aguas verdes y fue representado en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En el Escenario B no se efectuó esa separación: el 100 % del estiércol teóricamente depositado, equivalente a 26 278,725181 kg/año, ingresó a B1: Almacenamiento de purines. En B2: Aplicación de purines en campo de pastoreo se integraron el agua de lavado y el total de estiércol depositado.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flujo aplicado integró el agua de lavado y el estiércol remanente incorporado a las aguas verdes, y se empleó la caracterización química específica de las aguas verdes en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El flujo aplicado integró el agua de lavado y la totalidad del estiércol incorporado al purín, y se utilizó la caracterización química específica del purín en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usado en A2, el CIA determinó N por Dumas después de secar la muestra a 80 °C durante 48 h. Este secado fue una preparación analítica distinta de la determinación gravimétrica de materia seca del TFG a 105 °C. El porcentaje integrado de N se interpretó como concentración del material preparado/seco y se convirtió a la base húmeda de la masa de actividad mediante la fracción gravimétrica de materia seca. No se reconstruyeron ni corrigieron posibles pérdidas de N ocurridas durante la preparación CIA.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N_{\mathrm{fraction,wet,A2}} = \frac{n_{\mathrm{ex,pct,A2}}}{100} \times \frac{MS_{\mathrm{A2}}}{100}</w:t>
      </w:r>
    </w:p>
    <w:p>
      <w:pPr>
        <w:spacing w:line="240" w:lineRule="auto" w:before="0" w:after="0"/>
        <w:ind w:left="100" w:firstLine="719"/>
        <w:jc w:val="both"/>
      </w:pPr>
      <w:r>
        <w:rPr>
          <w:rFonts w:ascii="Times New Roman" w:hAnsi="Times New Roman"/>
          <w:sz w:val="24"/>
        </w:rPr>
        <w:t>Donde: N fraction,wet,A2 = fracción efectiva de N, kg N/kg de precompostado húmedo; n ex,pct,A2 = concentración analítica integrada de N del material preparado/seco, %; MS A2 = materia seca gravimétrica integrada del TFG, % de la masa húmeda.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húmedad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Para ambas etapas se utilizó un MCF de 38 % como aproximación conservadora para clima tropical húmedo, EF3 igual a cero y ausencia de lixiviación sistemática. La mineralización previa del 10 % del N orgánico se mantuvo como aproximación EMEP por defecto, sin escalado lineal por la residencia aproximada de tres días; su representatividad temporal constituye una incertidumbre explícita.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los pools correspondientes de B1. Ambas etapas representan aplicación al suelo de estiércol líquido previamente manejado y no deposición directa por animales durante pastoreo. Las mediciones intermedias se conservaron como benchmarks experimentales, sin reinicializar el ledger.</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ledger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las ecuaciones IPCC de manejo del estiércol y los factores genéricos de la categoría Composting – Passive Windrow, excepto la fracción de lixiviación, cuyo valor efectivo de cero se incorporó como parámetro específico del sistema estudiado. Las emisiones de las etapas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asociados con las ecuaciones de estimación de emisiones se organizaron de acuerdo con la metodología IPCC. En A2 se conservaron los factores de metano, N₂O directo y volatilización de la categoría Composting – Passive Windrow; únicamente la fracción de lixiviación se sustituyó mediante el parámetro específico descrito anteriormente.</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ledger secuencial en kg N/año. El N total constituye el pool físico principal y el nitrógeno amoniacal total (TAN) un subpool, sujeto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12,8 g NH₃ por Mg de residuo orgánico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benchmark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TAN_{fresco} = 0{,}60 \times N_{total,fresco}</w:t>
      </w:r>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ind w:left="0" w:firstLine="0"/>
        <w:jc w:val="center"/>
      </w:pPr>
      <w:r>
        <w:rPr>
          <w:rFonts w:ascii="Cambria Math" w:hAnsi="Cambria Math"/>
          <w:sz w:val="24"/>
        </w:rPr>
        <w:t>N_{precursor,vol} = N_{NH_3} + N_{NO_x}</w:t>
      </w:r>
    </w:p>
    <w:p>
      <w:pPr>
        <w:ind w:left="0" w:firstLine="0"/>
        <w:jc w:val="center"/>
      </w:pPr>
      <w:r>
        <w:rPr>
          <w:rFonts w:ascii="Cambria Math" w:hAnsi="Cambria Math"/>
          <w:sz w:val="24"/>
        </w:rPr>
        <w:t>N_{N_2O,ind,vol} = N_{precursor,vol} \times EF_4</w:t>
      </w:r>
    </w:p>
    <w:p>
      <w:pPr>
        <w:ind w:left="0" w:firstLine="0"/>
        <w:jc w:val="center"/>
      </w:pPr>
      <w:r>
        <w:rPr>
          <w:rFonts w:ascii="Cambria Math" w:hAnsi="Cambria Math"/>
          <w:sz w:val="24"/>
        </w:rPr>
        <w:t>N_{lix,esc} = N_{aplicado} \times FracLEACH</w:t>
      </w:r>
    </w:p>
    <w:p>
      <w:pPr>
        <w:ind w:left="0" w:firstLine="0"/>
        <w:jc w:val="center"/>
      </w:pPr>
      <w:r>
        <w:rPr>
          <w:rFonts w:ascii="Cambria Math" w:hAnsi="Cambria Math"/>
          <w:sz w:val="24"/>
        </w:rPr>
        <w:t>m_{NO_3^-} = N_{lix,esc} \times \frac{62}{14}</w:t>
      </w:r>
    </w:p>
    <w:p>
      <w:pPr>
        <w:ind w:left="0" w:firstLine="0"/>
        <w:jc w:val="center"/>
      </w:pPr>
      <w:r>
        <w:rPr>
          <w:rFonts w:ascii="Cambria Math" w:hAnsi="Cambria Math"/>
          <w:sz w:val="24"/>
        </w:rPr>
        <w:t>N_{N_2O,ind,lix} = N_{lix,esc} \times EF_5</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N_{NO_x} = m_{NO_2} \times \frac{14}{46}</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El tractor Massey Ferguson 6711 con cañón, operado en 540E, se modeló durante 30 min cada tres días y con 3 L diésel/h, resultando 182,50 L/año en A4 y B2. Los escenarios son alternativos y estos consumos no se dividieron entre ellos.</w:t>
      </w:r>
    </w:p>
    <w:p>
      <w:pPr>
        <w:spacing w:line="240" w:lineRule="auto" w:before="0" w:after="0"/>
        <w:ind w:left="100" w:firstLine="719"/>
        <w:jc w:val="both"/>
      </w:pPr>
      <w:r>
        <w:rPr>
          <w:rFonts w:ascii="Times New Roman" w:hAnsi="Times New Roman"/>
          <w:sz w:val="24"/>
        </w:rPr>
        <w:t>Electricidad y diésel permanecen inventariados sin impactos de fondo. Su caracterización se incorporará posteriormente mediante SimaPro y ecoinvent dentro del mismo pipeline; el cañón no recibe energía independiente y el agua pluvial no se añade de nuevo en las etapas de aplicación.</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caracterización para las categorías de impacto.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benchmark bibliográfico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ind w:left="0" w:firstLine="0"/>
        <w:jc w:val="center"/>
      </w:pPr>
      <w:r>
        <w:rPr>
          <w:rFonts w:ascii="Cambria Math" w:hAnsi="Cambria Math"/>
          <w:sz w:val="24"/>
        </w:rPr>
        <w:t>m_{\mathrm{MS,A2}} = m_{\mathrm{húmeda,A2}} \times f_{\mathrm{MS,A2}}</w:t>
      </w:r>
    </w:p>
    <w:p>
      <w:pPr>
        <w:ind w:left="0" w:firstLine="0"/>
        <w:jc w:val="center"/>
      </w:pPr>
      <w:r>
        <w:rPr>
          <w:rFonts w:ascii="Cambria Math" w:hAnsi="Cambria Math"/>
          <w:sz w:val="24"/>
        </w:rPr>
        <w:t>I_{\mathrm{CH_4}} = \frac{m_{\mathrm{CH_4,A2}} \times 10^3}{m_{\mathrm{MS,A2}}}</w:t>
      </w:r>
    </w:p>
    <w:p>
      <w:pPr>
        <w:spacing w:line="240" w:lineRule="auto" w:before="0" w:after="0"/>
        <w:ind w:left="100" w:firstLine="719"/>
        <w:jc w:val="both"/>
      </w:pPr>
      <w:r>
        <w:rPr>
          <w:rFonts w:ascii="Times New Roman" w:hAnsi="Times New Roman"/>
          <w:sz w:val="24"/>
        </w:rPr>
        <w:t>Donde: I CH₄ = intensidad de metano, g CH₄/kg de materia seca de entrada.</w:t>
      </w:r>
    </w:p>
    <w:p>
      <w:pPr>
        <w:ind w:left="0" w:firstLine="0"/>
        <w:jc w:val="center"/>
      </w:pPr>
      <w:r>
        <w:rPr>
          <w:rFonts w:ascii="Cambria Math" w:hAnsi="Cambria Math"/>
          <w:sz w:val="24"/>
        </w:rPr>
        <w:t>I_{\mathrm{N_2O,directo}} = \frac{m_{\mathrm{N_2O,directo,A2}} \times 10^6}{m_{\mathrm{MS,A2}}}</w:t>
      </w:r>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ind w:left="0" w:firstLine="0"/>
        <w:jc w:val="center"/>
      </w:pPr>
      <w:r>
        <w:rPr>
          <w:rFonts w:ascii="Cambria Math" w:hAnsi="Cambria Math"/>
          <w:sz w:val="24"/>
        </w:rPr>
        <w:t>F_{\mathrm{N_2O-N/N}} = \frac{m_{\mathrm{N_2O}} \times (28/44)}{m_{\mathrm{N,inicial}}}</w:t>
      </w:r>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 fresh water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 efectiva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