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efectiva empleada en las ecuaciones. Para A2, esta fracción expresa el N del precompostado sobre masa húmeda e incorpora la materia seca gravimétrica; las demás etapas conservan su tratamiento analítico vigente.</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88,8 % del calentamiento global del Escenario B, con 5 125,756062 kg CO₂-eq/año. En el Escenario A, A3: Almacenamiento de aguas verdes aportó 63,53 %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de electricidad y diésel están incorporados al inventario físico, pero sus procesos de fondo serán caracterizados posteriormente mediante SímaPro y ecoinvent dentro del mismo pipeline canónico.</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1 707,42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5 125,76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EF 3.1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2 687,737847 kg CO₂-eq/año, 617,051713 mol N-eq/año de eutrofización terrestre y 15,648348 kg N-eq/año de eutrofización marina. El Escenario B alcanzó 5 771,931464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0,102278091 kg CO₂-eq, 0,023481037 mol N-eq terrestre y 0,000595476 kg N-eq marino por kg de estiércol fresco manejado. Para el Escenario B fueron 0,21964275,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0,102278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0,219643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114,75 %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114,75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 fresh water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114,7505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79873"/>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79873"/>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