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pPr>
      <w:r>
        <w:rPr>
          <w:rFonts w:ascii="Times New Roman" w:hAnsi="Times New Roman"/>
          <w:b/>
        </w:rPr>
        <w:t>Universidad de Costa Rica</w:t>
      </w:r>
    </w:p>
    <w:p>
      <w:pPr>
        <w:pStyle w:val="Portadacentrada"/>
      </w:pPr>
      <w:r>
        <w:rPr>
          <w:rFonts w:ascii="Times New Roman" w:hAnsi="Times New Roman"/>
          <w:b/>
        </w:rPr>
        <w:t>Escuela de Ingeniería de Biosistemas</w:t>
      </w:r>
    </w:p>
    <w:p>
      <w:pPr>
        <w:pStyle w:val="Portadacentrada"/>
      </w:pPr>
      <w:r>
        <w:rPr>
          <w:rFonts w:ascii="Times New Roman" w:hAnsi="Times New Roman"/>
          <w:b/>
        </w:rPr>
        <w:t>Trabajo Final de Graduación</w:t>
      </w:r>
    </w:p>
    <w:p>
      <w:pPr>
        <w:pStyle w:val="Títulointegral"/>
      </w:pPr>
      <w:r>
        <w:rPr>
          <w:rFonts w:ascii="Times New Roman" w:hAnsi="Times New Roman"/>
        </w:rPr>
        <w:t>Análisis de ciclo de vida de los desechos bovinos, sólidos y líquidos producidos en una lechería especializada en Turrialba, Costa Rica</w:t>
      </w:r>
    </w:p>
    <w:p>
      <w:pPr>
        <w:pStyle w:val="Portadacentrada"/>
        <w:spacing w:after="360"/>
      </w:pPr>
      <w:r>
        <w:rPr>
          <w:rFonts w:ascii="Times New Roman" w:hAnsi="Times New Roman"/>
        </w:rPr>
        <w:t>Mateo Cerdas Barboza</w:t>
        <w:br/>
        <w:t>Carné B71946</w:t>
      </w:r>
    </w:p>
    <w:p>
      <w:pPr>
        <w:pStyle w:val="Portadacentrada"/>
        <w:spacing w:after="160"/>
      </w:pPr>
      <w:r>
        <w:rPr>
          <w:rFonts w:ascii="Times New Roman" w:hAnsi="Times New Roman"/>
          <w:b/>
        </w:rPr>
        <w:t>Ing. María Melissa Rojas Downing, Ph.D.</w:t>
      </w:r>
      <w:r>
        <w:rPr>
          <w:rFonts w:ascii="Times New Roman" w:hAnsi="Times New Roman"/>
        </w:rPr>
        <w:br/>
        <w:t>Directora, Comité Asesor</w:t>
      </w:r>
    </w:p>
    <w:p>
      <w:pPr>
        <w:pStyle w:val="Portadacentrada"/>
        <w:spacing w:after="160"/>
      </w:pPr>
      <w:r>
        <w:rPr>
          <w:rFonts w:ascii="Times New Roman" w:hAnsi="Times New Roman"/>
          <w:b/>
        </w:rPr>
        <w:t>María José Rodríguez Vásquez, Ph.D.</w:t>
      </w:r>
      <w:r>
        <w:rPr>
          <w:rFonts w:ascii="Times New Roman" w:hAnsi="Times New Roman"/>
        </w:rPr>
        <w:br/>
        <w:t>Miembro, Comité Asesor</w:t>
      </w:r>
    </w:p>
    <w:p>
      <w:pPr>
        <w:pStyle w:val="Portadacentrada"/>
        <w:spacing w:after="160"/>
      </w:pPr>
      <w:r>
        <w:rPr>
          <w:rFonts w:ascii="Times New Roman" w:hAnsi="Times New Roman"/>
          <w:b/>
        </w:rPr>
        <w:t>MBA. Saul Brenes Gamboa</w:t>
      </w:r>
      <w:r>
        <w:rPr>
          <w:rFonts w:ascii="Times New Roman" w:hAnsi="Times New Roman"/>
        </w:rPr>
        <w:br/>
        <w:t>Miembro, Comité Asesor</w:t>
      </w:r>
    </w:p>
    <w:p>
      <w:pPr>
        <w:pStyle w:val="Portadacentrada"/>
        <w:spacing w:before="360"/>
      </w:pPr>
      <w:r>
        <w:rPr>
          <w:rFonts w:ascii="Times New Roman" w:hAnsi="Times New Roman"/>
          <w:b/>
        </w:rPr>
        <w:t>PROVISIONAL M1–M2</w:t>
      </w:r>
    </w:p>
    <w:p>
      <w:pPr>
        <w:pStyle w:val="Portadacentrada"/>
      </w:pPr>
      <w:r>
        <w:rPr>
          <w:rFonts w:ascii="Times New Roman" w:hAnsi="Times New Roman"/>
          <w:i/>
        </w:rPr>
        <w:t>Documento integral de trabajo para revisión académica. La jornada M3 permanece pendiente.</w:t>
      </w:r>
    </w:p>
    <w:p>
      <w:pPr>
        <w:pStyle w:val="Portadacentrada"/>
        <w:spacing w:before="36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Análisis de ciclo de vida del manejo del estiércol bovino</w:t>
      </w:r>
    </w:p>
    <w:p>
      <w:pPr>
        <w:spacing w:line="240" w:lineRule="auto" w:before="0" w:after="0"/>
        <w:ind w:left="100" w:firstLine="719"/>
        <w:jc w:val="both"/>
      </w:pPr>
      <w:r>
        <w:rPr>
          <w:rFonts w:ascii="Times New Roman" w:hAnsi="Times New Roman"/>
          <w:sz w:val="24"/>
        </w:rPr>
        <w:t>El refinamiento de las Directrices del Grupo Intergubernamental de Expertos sobre el Cambio Climático (IPCC, por sus siglas en inglés) (2006) para Inventarios Nacionales de Gases de Efecto Invernadero (2019), proporcionan una metodología estandarizada para estimar las emisiones de GEI. Esta se organiza en diversos sectores, incluyendo el agrícola, y resulta fundamental para el desarrollo de ICV en categorías de impacto como el calentamiento global. Estas directrices desglosan las emisiones por categorías y subcategorías. Las subcategorías de relevancia para este proyecto son la gestión del estiércol y los suelos gestionados. Permitiendo la cuantificación de emisiones directas de GEI como metano (CH₄) y óxido nitroso (N₂O). Así como de emisiones indirectas relacionadas con la volatilización y lixiviación de compuestos nitrogenados, tales como amoníaco (NH₃) y nitratos (NO₃⁻).</w:t>
      </w:r>
    </w:p>
    <w:p>
      <w:pPr>
        <w:spacing w:line="240" w:lineRule="auto" w:before="0" w:after="0"/>
        <w:ind w:left="100" w:firstLine="719"/>
        <w:jc w:val="both"/>
      </w:pPr>
      <w:r>
        <w:rPr>
          <w:rFonts w:ascii="Times New Roman" w:hAnsi="Times New Roman"/>
          <w:sz w:val="24"/>
        </w:rPr>
        <w:t>En el contexto de ACV, las metodologías encontradas en IPCC (2019) no solo ayudan a estimar el potencial de calentamiento global (PCG) de estas emisiones. Sino que también permiten evaluar el potencial de eutrofización al proporcionar los datos de nitrógeno que se pierde en el sistema y que contribuyen a la contaminación de ecosistemas acuáticos. De esta manera, las directrices del IPCC facilitan una aproximación sistemática y detallada para evaluar el impacto ambiental del manejo de estiércol en categorías clave de ICV.</w:t>
      </w:r>
    </w:p>
    <w:p>
      <w:pPr>
        <w:spacing w:line="240" w:lineRule="auto" w:before="0" w:after="0"/>
        <w:ind w:left="100" w:firstLine="719"/>
        <w:jc w:val="both"/>
      </w:pPr>
      <w:r>
        <w:rPr>
          <w:rFonts w:ascii="Times New Roman" w:hAnsi="Times New Roman"/>
          <w:sz w:val="24"/>
        </w:rPr>
        <w:t>Según IPCC (2019) las emisiones indirectas son causadas por las pérdidas de nitrógeno en forma volátil, principalmente en forma de amoníaco (NH₃) y óxidos de nitrógeno NOx. La fracción de nitrógeno orgánico que se mineraliza en nitrógeno amoniacal durante la recolección y almacenamiento del estiércol depende principalmente de la disponibilidad de oxígeno, el tiempo y la temperatura. Formas simples de nitrógeno orgánico, como la urea (en mamíferos) y el ácido úrico (en aves de corral), se mineralizan rápidamente en nitrógeno amoniacal, transformándose en amoníaco en condiciones alcalinas. El amoníaco, por su alta volatilidad, se dispersa fácilmente en el aire circundante (Asman et al., 1998; Monteny y Erisman 1998). Las pérdidas de nitrógeno comienzan en el punto de excreción de las áreas de producción animal (como las salas de ordeño). Y continúan durante la gestión en los sistemas de almacenamiento y tratamiento (es decir, en los sistemas de gestión del estiércol). Estas terminan cuando los productos de los sistemas de gestión del estiércol son desechados, la gran mayoría son depositados en suelos como parte de la gestión de suelos.</w:t>
      </w:r>
    </w:p>
    <w:p>
      <w:pPr>
        <w:pStyle w:val="Heading2"/>
      </w:pPr>
      <w:r>
        <w:rPr>
          <w:rFonts w:ascii="Times New Roman" w:hAnsi="Times New Roman"/>
          <w:color w:val="000000"/>
        </w:rPr>
        <w:t>2.5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10-8 kg de P eq para la eutrofización del agua dulce y 2,17 × 10-9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15m2, 60m2 y 81m2,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A1 duró aproximadamente entre 21 días y cerca de un mes, por lo que se representa como tres a cuatro semanas sin tratar 28 días como una medición exacta.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presenta la jerarquía de etapas utilizada en todo el documento integral. En los gráficos por etapa se emplean las claves A1–A4 y B1–B2 definidas en esta tabla.</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pStyle w:val="Heading2"/>
      </w:pPr>
      <w:r>
        <w:rPr>
          <w:rFonts w:ascii="Times New Roman" w:hAnsi="Times New Roman"/>
          <w:color w:val="000000"/>
        </w:rPr>
        <w:t>4.3 Muestreo e integración temporal</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analíticas no se trataron como observaciones temporales independientes y las jornadas recibieron igual peso temporal.</w:t>
      </w:r>
    </w:p>
    <w:p>
      <w:pPr>
        <w:spacing w:line="240" w:lineRule="auto" w:before="0" w:after="0"/>
        <w:ind w:left="100" w:firstLine="719"/>
        <w:jc w:val="both"/>
      </w:pPr>
      <w:r>
        <w:rPr>
          <w:rFonts w:ascii="Times New Roman" w:hAnsi="Times New Roman"/>
          <w:sz w:val="24"/>
        </w:rPr>
        <w:t>En M1 se analizaron, por cada sólido, dos muestras compuestas en Bioenergía y otras dos muestras compuestas físicamente independientes en el laboratorio externo: los Laboratorios de Servicios Analíticos de la Escuela de Química (LASA) de la Universidad de Costa Rica (UCR), para estiércol fresco, y el Laboratorio de Suelos y Foliares del Centro de Investigaciones Agronómicas (CIA), para precompostado. En M2 se conservaron tres muestras compuestas por sólido; Bioenergía realizó tres réplicas gravimétricas por muestra y el remanente de esas mismas muestras fue analizado por LASA o CIA.</w:t>
      </w:r>
    </w:p>
    <w:p>
      <w:pPr>
        <w:spacing w:line="240" w:lineRule="auto" w:before="0" w:after="0"/>
        <w:ind w:left="100" w:firstLine="719"/>
        <w:jc w:val="both"/>
      </w:pPr>
      <w:r>
        <w:rPr>
          <w:rFonts w:ascii="Times New Roman" w:hAnsi="Times New Roman"/>
          <w:sz w:val="24"/>
        </w:rPr>
        <w:t>Bioenergía determinó húmedad y materia seca por gravimetría a 105 °C durante 16 h. El CIA determinó N y C del precompostado por Dumas sobre muestra seca o acondicionada a 80 °C durante 48 h. El porcentaje de N se combinó con la materia seca independiente de Bioenergía para construir el referencia de contraste húmedo de A2; C y C/N permanecieron como caracterización descriptiva, sin conversión húmeda ni uso productivo.</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En aguas verdes y purines, M1 correspondió a especiación y se conservó para trazabilidad; el N total líquido activo procedió de M2 mediante Kjeldahl. M3 permanece pendiente y se incorporará mediante el mismo secuencia de procesamiento para producir la caracterización final.</w:t>
      </w:r>
    </w:p>
    <w:p>
      <w:pPr>
        <w:spacing w:line="240" w:lineRule="auto" w:before="0" w:after="0"/>
        <w:ind w:left="100" w:firstLine="719"/>
        <w:jc w:val="both"/>
      </w:pPr>
      <w:r>
        <w:rPr>
          <w:rFonts w:ascii="Times New Roman" w:hAnsi="Times New Roman"/>
          <w:sz w:val="24"/>
        </w:rPr>
        <w:t>La transformación de estiércol fresco a precompostado se calculó primero por jornada mediante materia seca y cenizas de ambos materiales; posteriormente se integraron los factores de jornada con igual peso temporal. La pérdida integrada se derivó del factor integrado.</w:t>
      </w:r>
    </w:p>
    <w:p>
      <w:pPr>
        <w:spacing w:line="240" w:lineRule="auto" w:before="0" w:after="0"/>
        <w:ind w:left="100" w:firstLine="719"/>
        <w:jc w:val="both"/>
      </w:pPr>
      <w:r>
        <w:rPr>
          <w:rFonts w:ascii="Times New Roman" w:hAnsi="Times New Roman"/>
          <w:sz w:val="24"/>
        </w:rPr>
        <w:t>Antes de cada campaña líquida, la tanqueta se vació el jueves por la tarde y acumuló material hasta el lunes por la mañana. Durante ese intervalo de acumulación previo al muestreo continuaron las entradas y ocurrieron dos lavados; no fue una carga cerrada ni un ensayo de almacenamiento estático. Esta preparación de muestra no sustituyó la frecuencia operativa representativa de aproximadamente tres días.</w:t>
      </w:r>
    </w:p>
    <w:p>
      <w:pPr>
        <w:spacing w:line="240" w:lineRule="auto" w:before="0" w:after="0"/>
        <w:ind w:left="100" w:firstLine="719"/>
        <w:jc w:val="both"/>
      </w:pPr>
      <w:r>
        <w:rPr>
          <w:rFonts w:ascii="Times New Roman" w:hAnsi="Times New Roman"/>
          <w:sz w:val="24"/>
        </w:rPr>
        <w:t>La Tabla 2 resume los datos experimentales promovidos a la corrida provisional.</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Caracterización fisicoquímica provisional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bl>
    <w:p>
      <w:pPr>
        <w:pStyle w:val="Heading2"/>
      </w:pPr>
      <w:r>
        <w:rPr>
          <w:rFonts w:ascii="Times New Roman" w:hAnsi="Times New Roman"/>
          <w:color w:val="000000"/>
        </w:rPr>
        <w:t>4.4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secuencial fue secuencial: A2 recibió el N total y el reserva residual de TAN a la salida de A1. Por ello, aplicar factores en ambas etapas no duplicó matemáticamente los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4.4.1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(1)</w:t>
      </w:r>
    </w:p>
    <w:p>
      <w:pPr>
        <w:pStyle w:val="Heading3"/>
      </w:pPr>
      <w:r>
        <w:rPr>
          <w:rFonts w:ascii="Times New Roman" w:hAnsi="Times New Roman"/>
          <w:color w:val="000000"/>
        </w:rPr>
        <w:t>4.4.2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mineralización se aplica donde corresponde antes de estimar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el aproximación experimental aprobada de Komakech et al. (2016), aplicado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(5)</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(6)</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(7)</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(9)</w:t>
      </w:r>
    </w:p>
    <w:p>
      <w:pPr>
        <w:pStyle w:val="Heading3"/>
      </w:pPr>
      <w:r>
        <w:rPr>
          <w:rFonts w:ascii="Times New Roman" w:hAnsi="Times New Roman"/>
          <w:color w:val="000000"/>
        </w:rPr>
        <w:t>4.4.3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(10)</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(12)</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(13)</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(15)</w:t>
      </w:r>
    </w:p>
    <w:p>
      <w:pPr>
        <w:pStyle w:val="Heading2"/>
      </w:pPr>
      <w:r>
        <w:rPr>
          <w:rFonts w:ascii="Times New Roman" w:hAnsi="Times New Roman"/>
          <w:color w:val="000000"/>
        </w:rPr>
        <w:t>4.5 Evaluación de impactos y consumos operativos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del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(16)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La Tabla 3 documenta los factores visibles principales y la Figura 2 muestra la escala operacional de los flujos.</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941378"/>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4.6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húmedad y 13,6 % de materia seca. El material precompostado presentó 79,33 % de húmedad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Figura 3 presenta la caracterización gravimétrica provisional.</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4 resume las emisiones del manejo y la Figura 4 muestra la distribución de CH₄. Las contribuciones operativas de electricidad y diésel se incorporaron en el indicador de cambio climático, manteniendo separada su trazabilidad.</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821927"/>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5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306761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3067619"/>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3069746"/>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6 presenta la magnitud anual y la Tabla 7 muestra los indicadores por unidad funcional. La Tabla 8 y la Figura 7 presentan la comparación entre escenarios bajo la misma base funcional.</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9 contrasta las estimaciones oficiales de A2: Lombricompostaje con Jjagwe et al. (2019) sobre una base material armonizada. El contraste apoya la interpretación, pero no sustituye el inventario oficial ni constituye una validación formal del modelo.</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húmedad,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10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Antón Vallejo, M. A. (2004). Utilización del Análisis del ciclo de vida en la evaluación del impacto ambiental del cultivo bajo invernadero mediterráneo [Tesis doctoral, Universitat Politècnica de Catalunya]. http://hdl.handle.net/2117/94137</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Cordero Jáuregui, R. (2013). Caracterización química del estiércol y su manejo en explotaciones de lechería familiar de los Altos de Jalisco [Tesis doctoral, Universidad de Guadalajara]. http://repositorio.cualtos.udg.mx:8080/jspui/handle/123456789/535</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Ecobilan Group. (1999). TEAM: Tools for Environmental Analysis and Management [Conjunto de datos]. http://ecobilan.pwc.fr/en/team.html</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European Commission, Joint Research Centre. (2022). Environmental Footprint 3.1 life cycle impact assessment method. European Commission.</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11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