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pPr>
      <w:r>
        <w:rPr>
          <w:rFonts w:ascii="Times New Roman" w:hAnsi="Times New Roman"/>
          <w:sz w:val="24"/>
        </w:rPr>
        <w:t>6. Resultados</w:t>
      </w:r>
    </w:p>
    <w:p>
      <w:pPr>
        <w:pStyle w:val="Heading2"/>
        <w:spacing w:line="360" w:lineRule="auto"/>
      </w:pPr>
      <w:r>
        <w:rPr>
          <w:rFonts w:ascii="Times New Roman" w:hAnsi="Times New Roman"/>
          <w:sz w:val="24"/>
        </w:rPr>
        <w:t>6.1 Caracterización de las muestras analizadas</w:t>
      </w:r>
    </w:p>
    <w:p>
      <w:pPr>
        <w:spacing w:line="360" w:lineRule="auto"/>
      </w:pPr>
      <w:r>
        <w:rPr>
          <w:rFonts w:ascii="Times New Roman" w:hAnsi="Times New Roman"/>
          <w:sz w:val="24"/>
        </w:rPr>
        <w:t>La caracterización de las muestras analizadas permitió obtener los parámetros fisicoquímicos empleados como datos de entrada para el inventario de ciclo de vida. En el estiércol fresco se registró una humedad promedio de 85,77 % y una materia seca de 14,23 %, mientras que en el estiércol precompostado la humedad fue de 77,59 % y la materia seca de 22,41 %. Como se muestra en la Figura 1, el material precompostado presentó una menor proporción de humedad y una mayor fracción de materia seca respecto al estiércol fresco.</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3951233"/>
            <wp:docPr id="1" name="Picture 1"/>
            <wp:cNvGraphicFramePr>
              <a:graphicFrameLocks noChangeAspect="1"/>
            </wp:cNvGraphicFramePr>
            <a:graphic>
              <a:graphicData uri="http://schemas.openxmlformats.org/drawingml/2006/picture">
                <pic:pic>
                  <pic:nvPicPr>
                    <pic:cNvPr id="0" name="fig_01_caracterizacion_humedad_materia_seca.png"/>
                    <pic:cNvPicPr/>
                  </pic:nvPicPr>
                  <pic:blipFill>
                    <a:blip r:embed="rId9"/>
                    <a:stretch>
                      <a:fillRect/>
                    </a:stretch>
                  </pic:blipFill>
                  <pic:spPr>
                    <a:xfrm>
                      <a:off x="0" y="0"/>
                      <a:ext cx="5669280" cy="3951233"/>
                    </a:xfrm>
                    <a:prstGeom prst="rect"/>
                  </pic:spPr>
                </pic:pic>
              </a:graphicData>
            </a:graphic>
          </wp:inline>
        </w:drawing>
      </w:r>
    </w:p>
    <w:p>
      <w:pPr>
        <w:spacing w:line="360" w:lineRule="auto"/>
        <w:jc w:val="center"/>
      </w:pPr>
      <w:r>
        <w:rPr>
          <w:rFonts w:ascii="Times New Roman" w:hAnsi="Times New Roman"/>
          <w:i/>
          <w:sz w:val="24"/>
        </w:rPr>
        <w:t>Figura 1. Humedad y materia seca promedio por tipo de muestra.</w:t>
      </w:r>
    </w:p>
    <w:p>
      <w:pPr>
        <w:spacing w:line="360" w:lineRule="auto"/>
      </w:pPr>
      <w:r>
        <w:rPr>
          <w:rFonts w:ascii="Times New Roman" w:hAnsi="Times New Roman"/>
          <w:sz w:val="24"/>
        </w:rPr>
        <w:t>En relación con la composición de la materia seca, el estiércol fresco presentó 85,88 % de sólidos volátiles y 14,12 % de cenizas. El estiércol precompostado presentó 70,96 % de sólidos volátiles y 29,04 % de cenizas, lo que indica una mayor proporción mineral en el material precompostado. El nitrógeno total fue de 2,425 % en el precompostado, equivalente a 24 250 mg N/kg, y de 0,372 % en el estiércol fresco, equivalente a 3716,67 mg N/kg. Estos resultados se resumen en el Apéndice D, y los patrones de sólidos volátiles y cenizas se presentan en la Figura 2.</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3951233"/>
            <wp:docPr id="2" name="Picture 2"/>
            <wp:cNvGraphicFramePr>
              <a:graphicFrameLocks noChangeAspect="1"/>
            </wp:cNvGraphicFramePr>
            <a:graphic>
              <a:graphicData uri="http://schemas.openxmlformats.org/drawingml/2006/picture">
                <pic:pic>
                  <pic:nvPicPr>
                    <pic:cNvPr id="0" name="fig_02_caracterizacion_solidos_volatiles_cenizas.png"/>
                    <pic:cNvPicPr/>
                  </pic:nvPicPr>
                  <pic:blipFill>
                    <a:blip r:embed="rId10"/>
                    <a:stretch>
                      <a:fillRect/>
                    </a:stretch>
                  </pic:blipFill>
                  <pic:spPr>
                    <a:xfrm>
                      <a:off x="0" y="0"/>
                      <a:ext cx="5669280" cy="3951233"/>
                    </a:xfrm>
                    <a:prstGeom prst="rect"/>
                  </pic:spPr>
                </pic:pic>
              </a:graphicData>
            </a:graphic>
          </wp:inline>
        </w:drawing>
      </w:r>
    </w:p>
    <w:p>
      <w:pPr>
        <w:spacing w:line="360" w:lineRule="auto"/>
        <w:jc w:val="center"/>
      </w:pPr>
      <w:r>
        <w:rPr>
          <w:rFonts w:ascii="Times New Roman" w:hAnsi="Times New Roman"/>
          <w:i/>
          <w:sz w:val="24"/>
        </w:rPr>
        <w:t>Figura 2. Sólidos volátiles y cenizas por tipo de muestra.</w:t>
      </w:r>
    </w:p>
    <w:p>
      <w:pPr>
        <w:spacing w:line="360" w:lineRule="auto"/>
      </w:pPr>
      <w:r>
        <w:rPr>
          <w:rFonts w:ascii="Times New Roman" w:hAnsi="Times New Roman"/>
          <w:b/>
          <w:sz w:val="24"/>
        </w:rPr>
        <w:t>Apéndice D. Resumen de caracterización fisicoquímica de las muestras.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37"/>
        <w:gridCol w:w="1337"/>
        <w:gridCol w:w="1337"/>
        <w:gridCol w:w="1337"/>
        <w:gridCol w:w="1337"/>
        <w:gridCol w:w="1337"/>
        <w:gridCol w:w="1337"/>
      </w:tblGrid>
      <w:tr>
        <w:tc>
          <w:tcPr>
            <w:tcW w:type="dxa" w:w="1337"/>
            <w:vAlign w:val="center"/>
          </w:tcPr>
          <w:p>
            <w:r>
              <w:rPr>
                <w:b/>
              </w:rPr>
              <w:t>Tipo de muestra</w:t>
            </w:r>
          </w:p>
        </w:tc>
        <w:tc>
          <w:tcPr>
            <w:tcW w:type="dxa" w:w="1337"/>
            <w:vAlign w:val="center"/>
          </w:tcPr>
          <w:p>
            <w:r>
              <w:rPr>
                <w:b/>
              </w:rPr>
              <w:t>Humedad (% masa húmeda)</w:t>
            </w:r>
          </w:p>
        </w:tc>
        <w:tc>
          <w:tcPr>
            <w:tcW w:type="dxa" w:w="1337"/>
            <w:vAlign w:val="center"/>
          </w:tcPr>
          <w:p>
            <w:r>
              <w:rPr>
                <w:b/>
              </w:rPr>
              <w:t>Materia seca (% masa húmeda)</w:t>
            </w:r>
          </w:p>
        </w:tc>
        <w:tc>
          <w:tcPr>
            <w:tcW w:type="dxa" w:w="1337"/>
            <w:vAlign w:val="center"/>
          </w:tcPr>
          <w:p>
            <w:r>
              <w:rPr>
                <w:b/>
              </w:rPr>
              <w:t>Cenizas (% base seca)</w:t>
            </w:r>
          </w:p>
        </w:tc>
        <w:tc>
          <w:tcPr>
            <w:tcW w:type="dxa" w:w="1337"/>
            <w:vAlign w:val="center"/>
          </w:tcPr>
          <w:p>
            <w:r>
              <w:rPr>
                <w:b/>
              </w:rPr>
              <w:t>Sólidos volátiles (% base seca)</w:t>
            </w:r>
          </w:p>
        </w:tc>
        <w:tc>
          <w:tcPr>
            <w:tcW w:type="dxa" w:w="1337"/>
            <w:vAlign w:val="center"/>
          </w:tcPr>
          <w:p>
            <w:r>
              <w:rPr>
                <w:b/>
              </w:rPr>
              <w:t>N total (%)</w:t>
            </w:r>
          </w:p>
        </w:tc>
        <w:tc>
          <w:tcPr>
            <w:tcW w:type="dxa" w:w="1337"/>
            <w:vAlign w:val="center"/>
          </w:tcPr>
          <w:p>
            <w:r>
              <w:rPr>
                <w:b/>
              </w:rPr>
              <w:t>N total (mg N/kg)</w:t>
            </w:r>
          </w:p>
        </w:tc>
      </w:tr>
      <w:tr>
        <w:tc>
          <w:tcPr>
            <w:tcW w:type="dxa" w:w="1337"/>
            <w:vAlign w:val="center"/>
          </w:tcPr>
          <w:p>
            <w:r>
              <w:t>Estiércol fresco</w:t>
            </w:r>
          </w:p>
        </w:tc>
        <w:tc>
          <w:tcPr>
            <w:tcW w:type="dxa" w:w="1337"/>
            <w:vAlign w:val="center"/>
          </w:tcPr>
          <w:p>
            <w:r>
              <w:t>85,77</w:t>
            </w:r>
          </w:p>
        </w:tc>
        <w:tc>
          <w:tcPr>
            <w:tcW w:type="dxa" w:w="1337"/>
            <w:vAlign w:val="center"/>
          </w:tcPr>
          <w:p>
            <w:r>
              <w:t>14,23</w:t>
            </w:r>
          </w:p>
        </w:tc>
        <w:tc>
          <w:tcPr>
            <w:tcW w:type="dxa" w:w="1337"/>
            <w:vAlign w:val="center"/>
          </w:tcPr>
          <w:p>
            <w:r>
              <w:t>14,12</w:t>
            </w:r>
          </w:p>
        </w:tc>
        <w:tc>
          <w:tcPr>
            <w:tcW w:type="dxa" w:w="1337"/>
            <w:vAlign w:val="center"/>
          </w:tcPr>
          <w:p>
            <w:r>
              <w:t>85,88</w:t>
            </w:r>
          </w:p>
        </w:tc>
        <w:tc>
          <w:tcPr>
            <w:tcW w:type="dxa" w:w="1337"/>
            <w:vAlign w:val="center"/>
          </w:tcPr>
          <w:p>
            <w:r>
              <w:t>0,372</w:t>
            </w:r>
          </w:p>
        </w:tc>
        <w:tc>
          <w:tcPr>
            <w:tcW w:type="dxa" w:w="1337"/>
            <w:vAlign w:val="center"/>
          </w:tcPr>
          <w:p>
            <w:r>
              <w:t>3 716,67</w:t>
            </w:r>
          </w:p>
        </w:tc>
      </w:tr>
      <w:tr>
        <w:tc>
          <w:tcPr>
            <w:tcW w:type="dxa" w:w="1337"/>
            <w:vAlign w:val="center"/>
          </w:tcPr>
          <w:p>
            <w:r>
              <w:t>Estiércol precompostado</w:t>
            </w:r>
          </w:p>
        </w:tc>
        <w:tc>
          <w:tcPr>
            <w:tcW w:type="dxa" w:w="1337"/>
            <w:vAlign w:val="center"/>
          </w:tcPr>
          <w:p>
            <w:r>
              <w:t>77,59</w:t>
            </w:r>
          </w:p>
        </w:tc>
        <w:tc>
          <w:tcPr>
            <w:tcW w:type="dxa" w:w="1337"/>
            <w:vAlign w:val="center"/>
          </w:tcPr>
          <w:p>
            <w:r>
              <w:t>22,41</w:t>
            </w:r>
          </w:p>
        </w:tc>
        <w:tc>
          <w:tcPr>
            <w:tcW w:type="dxa" w:w="1337"/>
            <w:vAlign w:val="center"/>
          </w:tcPr>
          <w:p>
            <w:r>
              <w:t>29,04</w:t>
            </w:r>
          </w:p>
        </w:tc>
        <w:tc>
          <w:tcPr>
            <w:tcW w:type="dxa" w:w="1337"/>
            <w:vAlign w:val="center"/>
          </w:tcPr>
          <w:p>
            <w:r>
              <w:t>70,96</w:t>
            </w:r>
          </w:p>
        </w:tc>
        <w:tc>
          <w:tcPr>
            <w:tcW w:type="dxa" w:w="1337"/>
            <w:vAlign w:val="center"/>
          </w:tcPr>
          <w:p>
            <w:r>
              <w:t>2,425</w:t>
            </w:r>
          </w:p>
        </w:tc>
        <w:tc>
          <w:tcPr>
            <w:tcW w:type="dxa" w:w="1337"/>
            <w:vAlign w:val="center"/>
          </w:tcPr>
          <w:p>
            <w:r>
              <w:t>24 250,00</w:t>
            </w:r>
          </w:p>
        </w:tc>
      </w:tr>
    </w:tbl>
    <w:p>
      <w:pPr>
        <w:pStyle w:val="Heading2"/>
        <w:spacing w:line="360" w:lineRule="auto"/>
      </w:pPr>
      <w:r>
        <w:rPr>
          <w:rFonts w:ascii="Times New Roman" w:hAnsi="Times New Roman"/>
          <w:sz w:val="24"/>
        </w:rPr>
        <w:t>6.2 Flujos del inventario de ciclo de vida</w:t>
      </w:r>
    </w:p>
    <w:p>
      <w:pPr>
        <w:spacing w:line="360" w:lineRule="auto"/>
      </w:pPr>
      <w:r>
        <w:rPr>
          <w:rFonts w:ascii="Times New Roman" w:hAnsi="Times New Roman"/>
          <w:sz w:val="24"/>
        </w:rPr>
        <w:t>Los flujos del inventario de ciclo de vida permitieron cuantificar la masa equivalente anual asociada con cada etapa y escenario. La mayor contribución individual correspondió a B2, correspondiente a la Etapa 2: Aplicación en campo, con 76 557,27 kg eq/año, seguida de A4, correspondiente a la Etapa 4: Aplicación de aguas verdes en campos de pastoreo, con 71 789,81 kg eq/año. En contraste, A3, correspondiente a la Etapa 3: Almacenamiento de aguas verdes, presentó 358,84 kg eq/año. El total del escenario A fue de 78 388,50 kg eq/año y el del escenario B fue de 81 683,56 kg eq/año. La diferencia B - A fue de 3295,06 kg eq/año, equivalente aproximadamente a 4,2 %. Como se muestra en la Figura 3, la distribución de masa estuvo dominada por las etapas líquidas o de aplicación. Los valores completos se presentan en el Apéndice E.</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2802840"/>
            <wp:docPr id="3" name="Picture 3"/>
            <wp:cNvGraphicFramePr>
              <a:graphicFrameLocks noChangeAspect="1"/>
            </wp:cNvGraphicFramePr>
            <a:graphic>
              <a:graphicData uri="http://schemas.openxmlformats.org/drawingml/2006/picture">
                <pic:pic>
                  <pic:nvPicPr>
                    <pic:cNvPr id="0" name="fig_04_flujos_masa_equivalente_total.png"/>
                    <pic:cNvPicPr/>
                  </pic:nvPicPr>
                  <pic:blipFill>
                    <a:blip r:embed="rId11"/>
                    <a:stretch>
                      <a:fillRect/>
                    </a:stretch>
                  </pic:blipFill>
                  <pic:spPr>
                    <a:xfrm>
                      <a:off x="0" y="0"/>
                      <a:ext cx="5669280" cy="2802840"/>
                    </a:xfrm>
                    <a:prstGeom prst="rect"/>
                  </pic:spPr>
                </pic:pic>
              </a:graphicData>
            </a:graphic>
          </wp:inline>
        </w:drawing>
      </w:r>
    </w:p>
    <w:p>
      <w:pPr>
        <w:spacing w:line="360" w:lineRule="auto"/>
        <w:jc w:val="center"/>
      </w:pPr>
      <w:r>
        <w:rPr>
          <w:rFonts w:ascii="Times New Roman" w:hAnsi="Times New Roman"/>
          <w:i/>
          <w:sz w:val="24"/>
        </w:rPr>
        <w:t>Figura 3. Masa equivalente total por etapa y escenario.</w:t>
      </w:r>
    </w:p>
    <w:p>
      <w:pPr>
        <w:spacing w:line="360" w:lineRule="auto"/>
      </w:pPr>
      <w:r>
        <w:rPr>
          <w:rFonts w:ascii="Times New Roman" w:hAnsi="Times New Roman"/>
          <w:b/>
          <w:sz w:val="24"/>
        </w:rPr>
        <w:t>Apéndice E. Resumen de flujos de masa equivalente total.</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vAlign w:val="center"/>
          </w:tcPr>
          <w:p>
            <w:r>
              <w:rPr>
                <w:b/>
              </w:rPr>
              <w:t>Escenario</w:t>
            </w:r>
          </w:p>
        </w:tc>
        <w:tc>
          <w:tcPr>
            <w:tcW w:type="dxa" w:w="2340"/>
            <w:vAlign w:val="center"/>
          </w:tcPr>
          <w:p>
            <w:r>
              <w:rPr>
                <w:b/>
              </w:rPr>
              <w:t>Etapa</w:t>
            </w:r>
          </w:p>
        </w:tc>
        <w:tc>
          <w:tcPr>
            <w:tcW w:type="dxa" w:w="2340"/>
            <w:vAlign w:val="center"/>
          </w:tcPr>
          <w:p>
            <w:r>
              <w:rPr>
                <w:b/>
              </w:rPr>
              <w:t>Nombre de etapa</w:t>
            </w:r>
          </w:p>
        </w:tc>
        <w:tc>
          <w:tcPr>
            <w:tcW w:type="dxa" w:w="2340"/>
            <w:vAlign w:val="center"/>
          </w:tcPr>
          <w:p>
            <w:r>
              <w:rPr>
                <w:b/>
              </w:rPr>
              <w:t>Masa equivalente total (kg eq/año)</w:t>
            </w:r>
          </w:p>
        </w:tc>
      </w:tr>
      <w:tr>
        <w:tc>
          <w:tcPr>
            <w:tcW w:type="dxa" w:w="2340"/>
            <w:vAlign w:val="center"/>
          </w:tcPr>
          <w:p>
            <w:r>
              <w:t>A</w:t>
            </w:r>
          </w:p>
        </w:tc>
        <w:tc>
          <w:tcPr>
            <w:tcW w:type="dxa" w:w="2340"/>
            <w:vAlign w:val="center"/>
          </w:tcPr>
          <w:p>
            <w:r>
              <w:t>1,00</w:t>
            </w:r>
          </w:p>
        </w:tc>
        <w:tc>
          <w:tcPr>
            <w:tcW w:type="dxa" w:w="2340"/>
            <w:vAlign w:val="center"/>
          </w:tcPr>
          <w:p>
            <w:r>
              <w:t>Etapa 1: Precomposteo</w:t>
            </w:r>
          </w:p>
        </w:tc>
        <w:tc>
          <w:tcPr>
            <w:tcW w:type="dxa" w:w="2340"/>
            <w:vAlign w:val="center"/>
          </w:tcPr>
          <w:p>
            <w:r>
              <w:t>4 767,46</w:t>
            </w:r>
          </w:p>
        </w:tc>
      </w:tr>
      <w:tr>
        <w:tc>
          <w:tcPr>
            <w:tcW w:type="dxa" w:w="2340"/>
            <w:vAlign w:val="center"/>
          </w:tcPr>
          <w:p>
            <w:r>
              <w:t>A</w:t>
            </w:r>
          </w:p>
        </w:tc>
        <w:tc>
          <w:tcPr>
            <w:tcW w:type="dxa" w:w="2340"/>
            <w:vAlign w:val="center"/>
          </w:tcPr>
          <w:p>
            <w:r>
              <w:t>2,00</w:t>
            </w:r>
          </w:p>
        </w:tc>
        <w:tc>
          <w:tcPr>
            <w:tcW w:type="dxa" w:w="2340"/>
            <w:vAlign w:val="center"/>
          </w:tcPr>
          <w:p>
            <w:r>
              <w:t>Etapa 2: Lombricompostaje</w:t>
            </w:r>
          </w:p>
        </w:tc>
        <w:tc>
          <w:tcPr>
            <w:tcW w:type="dxa" w:w="2340"/>
            <w:vAlign w:val="center"/>
          </w:tcPr>
          <w:p>
            <w:r>
              <w:t>1 472,40</w:t>
            </w:r>
          </w:p>
        </w:tc>
      </w:tr>
      <w:tr>
        <w:tc>
          <w:tcPr>
            <w:tcW w:type="dxa" w:w="2340"/>
            <w:vAlign w:val="center"/>
          </w:tcPr>
          <w:p>
            <w:r>
              <w:t>A</w:t>
            </w:r>
          </w:p>
        </w:tc>
        <w:tc>
          <w:tcPr>
            <w:tcW w:type="dxa" w:w="2340"/>
            <w:vAlign w:val="center"/>
          </w:tcPr>
          <w:p>
            <w:r>
              <w:t>3,00</w:t>
            </w:r>
          </w:p>
        </w:tc>
        <w:tc>
          <w:tcPr>
            <w:tcW w:type="dxa" w:w="2340"/>
            <w:vAlign w:val="center"/>
          </w:tcPr>
          <w:p>
            <w:r>
              <w:t>Etapa 3: Almacenamiento de aguas verdes</w:t>
            </w:r>
          </w:p>
        </w:tc>
        <w:tc>
          <w:tcPr>
            <w:tcW w:type="dxa" w:w="2340"/>
            <w:vAlign w:val="center"/>
          </w:tcPr>
          <w:p>
            <w:r>
              <w:t>358,84</w:t>
            </w:r>
          </w:p>
        </w:tc>
      </w:tr>
      <w:tr>
        <w:tc>
          <w:tcPr>
            <w:tcW w:type="dxa" w:w="2340"/>
            <w:vAlign w:val="center"/>
          </w:tcPr>
          <w:p>
            <w:r>
              <w:t>A</w:t>
            </w:r>
          </w:p>
        </w:tc>
        <w:tc>
          <w:tcPr>
            <w:tcW w:type="dxa" w:w="2340"/>
            <w:vAlign w:val="center"/>
          </w:tcPr>
          <w:p>
            <w:r>
              <w:t>4,00</w:t>
            </w:r>
          </w:p>
        </w:tc>
        <w:tc>
          <w:tcPr>
            <w:tcW w:type="dxa" w:w="2340"/>
            <w:vAlign w:val="center"/>
          </w:tcPr>
          <w:p>
            <w:r>
              <w:t>Etapa 4: Aplicación de aguas verdes en campos de pastoreo</w:t>
            </w:r>
          </w:p>
        </w:tc>
        <w:tc>
          <w:tcPr>
            <w:tcW w:type="dxa" w:w="2340"/>
            <w:vAlign w:val="center"/>
          </w:tcPr>
          <w:p>
            <w:r>
              <w:t>71 789,81</w:t>
            </w:r>
          </w:p>
        </w:tc>
      </w:tr>
      <w:tr>
        <w:tc>
          <w:tcPr>
            <w:tcW w:type="dxa" w:w="2340"/>
            <w:vAlign w:val="center"/>
          </w:tcPr>
          <w:p>
            <w:r>
              <w:t>B</w:t>
            </w:r>
          </w:p>
        </w:tc>
        <w:tc>
          <w:tcPr>
            <w:tcW w:type="dxa" w:w="2340"/>
            <w:vAlign w:val="center"/>
          </w:tcPr>
          <w:p>
            <w:r>
              <w:t>1,00</w:t>
            </w:r>
          </w:p>
        </w:tc>
        <w:tc>
          <w:tcPr>
            <w:tcW w:type="dxa" w:w="2340"/>
            <w:vAlign w:val="center"/>
          </w:tcPr>
          <w:p>
            <w:r>
              <w:t>Etapa 1: Almacenamiento de purines</w:t>
            </w:r>
          </w:p>
        </w:tc>
        <w:tc>
          <w:tcPr>
            <w:tcW w:type="dxa" w:w="2340"/>
            <w:vAlign w:val="center"/>
          </w:tcPr>
          <w:p>
            <w:r>
              <w:t>5 126,30</w:t>
            </w:r>
          </w:p>
        </w:tc>
      </w:tr>
      <w:tr>
        <w:tc>
          <w:tcPr>
            <w:tcW w:type="dxa" w:w="2340"/>
            <w:vAlign w:val="center"/>
          </w:tcPr>
          <w:p>
            <w:r>
              <w:t>B</w:t>
            </w:r>
          </w:p>
        </w:tc>
        <w:tc>
          <w:tcPr>
            <w:tcW w:type="dxa" w:w="2340"/>
            <w:vAlign w:val="center"/>
          </w:tcPr>
          <w:p>
            <w:r>
              <w:t>2,00</w:t>
            </w:r>
          </w:p>
        </w:tc>
        <w:tc>
          <w:tcPr>
            <w:tcW w:type="dxa" w:w="2340"/>
            <w:vAlign w:val="center"/>
          </w:tcPr>
          <w:p>
            <w:r>
              <w:t>Etapa 2: Aplicación en campo</w:t>
            </w:r>
          </w:p>
        </w:tc>
        <w:tc>
          <w:tcPr>
            <w:tcW w:type="dxa" w:w="2340"/>
            <w:vAlign w:val="center"/>
          </w:tcPr>
          <w:p>
            <w:r>
              <w:t>76 557,27</w:t>
            </w:r>
          </w:p>
        </w:tc>
      </w:tr>
    </w:tbl>
    <w:p>
      <w:pPr>
        <w:pStyle w:val="Heading2"/>
        <w:spacing w:line="360" w:lineRule="auto"/>
      </w:pPr>
      <w:r>
        <w:rPr>
          <w:rFonts w:ascii="Times New Roman" w:hAnsi="Times New Roman"/>
          <w:sz w:val="24"/>
        </w:rPr>
        <w:t>6.3 Parámetros utilizados en el modelo ACV</w:t>
      </w:r>
    </w:p>
    <w:p>
      <w:pPr>
        <w:spacing w:line="360" w:lineRule="auto"/>
      </w:pPr>
      <w:r>
        <w:rPr>
          <w:rFonts w:ascii="Times New Roman" w:hAnsi="Times New Roman"/>
          <w:sz w:val="24"/>
        </w:rPr>
        <w:t>Los parámetros utilizados en el modelo ACV se organizaron por escenario y etapa. El parámetro n_ex_pct corresponde al nitrógeno total reportado en porcentaje, mientras que n_ex_fraction corresponde a la fracción másica usada en las ecuaciones de nitrógeno. A1, correspondiente a la Etapa 1: Precomposteo, empleó el sistema dry_lot con modelo IPCC, y A2, correspondiente a la Etapa 2: Lombricompostaje, utilizó un modelo medido. De acuerdo con la tabla actual de parámetros, A3, correspondiente a la Etapa 3: Almacenamiento de aguas verdes; A4, correspondiente a la Etapa 4: Aplicación de aguas verdes en campos de pastoreo; B1, correspondiente a la Etapa 1: Almacenamiento de purines; y B2, correspondiente a la Etapa 2: Aplicación en campo, utilizaron el sistema uncovered_anaerobic_lagoon. La información detallada se presenta en el Apéndice F.</w:t>
      </w:r>
    </w:p>
    <w:p>
      <w:pPr>
        <w:spacing w:line="360" w:lineRule="auto"/>
      </w:pPr>
      <w:r>
        <w:rPr>
          <w:rFonts w:ascii="Times New Roman" w:hAnsi="Times New Roman"/>
          <w:b/>
          <w:sz w:val="24"/>
        </w:rPr>
        <w:t>Apéndice F. Resumen de parámetros por escenario y etapa.</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040"/>
        <w:gridCol w:w="1040"/>
        <w:gridCol w:w="1040"/>
        <w:gridCol w:w="1040"/>
        <w:gridCol w:w="1040"/>
        <w:gridCol w:w="1040"/>
        <w:gridCol w:w="1040"/>
        <w:gridCol w:w="1040"/>
        <w:gridCol w:w="1040"/>
      </w:tblGrid>
      <w:tr>
        <w:tc>
          <w:tcPr>
            <w:tcW w:type="dxa" w:w="1040"/>
            <w:vAlign w:val="center"/>
          </w:tcPr>
          <w:p>
            <w:r>
              <w:rPr>
                <w:b/>
              </w:rPr>
              <w:t>Escenario</w:t>
            </w:r>
          </w:p>
        </w:tc>
        <w:tc>
          <w:tcPr>
            <w:tcW w:type="dxa" w:w="1040"/>
            <w:vAlign w:val="center"/>
          </w:tcPr>
          <w:p>
            <w:r>
              <w:rPr>
                <w:b/>
              </w:rPr>
              <w:t>Etapa</w:t>
            </w:r>
          </w:p>
        </w:tc>
        <w:tc>
          <w:tcPr>
            <w:tcW w:type="dxa" w:w="1040"/>
            <w:vAlign w:val="center"/>
          </w:tcPr>
          <w:p>
            <w:r>
              <w:rPr>
                <w:b/>
              </w:rPr>
              <w:t>Nombre de etapa</w:t>
            </w:r>
          </w:p>
        </w:tc>
        <w:tc>
          <w:tcPr>
            <w:tcW w:type="dxa" w:w="1040"/>
            <w:vAlign w:val="center"/>
          </w:tcPr>
          <w:p>
            <w:r>
              <w:rPr>
                <w:b/>
              </w:rPr>
              <w:t>Modelo de cálculo</w:t>
            </w:r>
          </w:p>
        </w:tc>
        <w:tc>
          <w:tcPr>
            <w:tcW w:type="dxa" w:w="1040"/>
            <w:vAlign w:val="center"/>
          </w:tcPr>
          <w:p>
            <w:r>
              <w:rPr>
                <w:b/>
              </w:rPr>
              <w:t>Sistema de manejo asignado</w:t>
            </w:r>
          </w:p>
        </w:tc>
        <w:tc>
          <w:tcPr>
            <w:tcW w:type="dxa" w:w="1040"/>
            <w:vAlign w:val="center"/>
          </w:tcPr>
          <w:p>
            <w:r>
              <w:rPr>
                <w:b/>
              </w:rPr>
              <w:t>n_ex_pct (%)</w:t>
            </w:r>
          </w:p>
        </w:tc>
        <w:tc>
          <w:tcPr>
            <w:tcW w:type="dxa" w:w="1040"/>
            <w:vAlign w:val="center"/>
          </w:tcPr>
          <w:p>
            <w:r>
              <w:rPr>
                <w:b/>
              </w:rPr>
              <w:t>n_ex_fraction (kg N/kg muestra)</w:t>
            </w:r>
          </w:p>
        </w:tc>
        <w:tc>
          <w:tcPr>
            <w:tcW w:type="dxa" w:w="1040"/>
            <w:vAlign w:val="center"/>
          </w:tcPr>
          <w:p>
            <w:r>
              <w:rPr>
                <w:b/>
              </w:rPr>
              <w:t>MCF (%)</w:t>
            </w:r>
          </w:p>
        </w:tc>
        <w:tc>
          <w:tcPr>
            <w:tcW w:type="dxa" w:w="1040"/>
            <w:vAlign w:val="center"/>
          </w:tcPr>
          <w:p>
            <w:r>
              <w:rPr>
                <w:b/>
              </w:rPr>
              <w:t>EF3</w:t>
            </w:r>
          </w:p>
        </w:tc>
      </w:tr>
      <w:tr>
        <w:tc>
          <w:tcPr>
            <w:tcW w:type="dxa" w:w="1040"/>
            <w:vAlign w:val="center"/>
          </w:tcPr>
          <w:p>
            <w:r>
              <w:t>A</w:t>
            </w:r>
          </w:p>
        </w:tc>
        <w:tc>
          <w:tcPr>
            <w:tcW w:type="dxa" w:w="1040"/>
            <w:vAlign w:val="center"/>
          </w:tcPr>
          <w:p>
            <w:r>
              <w:t>1,00</w:t>
            </w:r>
          </w:p>
        </w:tc>
        <w:tc>
          <w:tcPr>
            <w:tcW w:type="dxa" w:w="1040"/>
            <w:vAlign w:val="center"/>
          </w:tcPr>
          <w:p>
            <w:r>
              <w:t>Etapa 1: Precomposteo</w:t>
            </w:r>
          </w:p>
        </w:tc>
        <w:tc>
          <w:tcPr>
            <w:tcW w:type="dxa" w:w="1040"/>
            <w:vAlign w:val="center"/>
          </w:tcPr>
          <w:p>
            <w:r>
              <w:t>ipcc</w:t>
            </w:r>
          </w:p>
        </w:tc>
        <w:tc>
          <w:tcPr>
            <w:tcW w:type="dxa" w:w="1040"/>
            <w:vAlign w:val="center"/>
          </w:tcPr>
          <w:p>
            <w:r>
              <w:t>dry_lot</w:t>
            </w:r>
          </w:p>
        </w:tc>
        <w:tc>
          <w:tcPr>
            <w:tcW w:type="dxa" w:w="1040"/>
            <w:vAlign w:val="center"/>
          </w:tcPr>
          <w:p>
            <w:r>
              <w:t>0,3717</w:t>
            </w:r>
          </w:p>
        </w:tc>
        <w:tc>
          <w:tcPr>
            <w:tcW w:type="dxa" w:w="1040"/>
            <w:vAlign w:val="center"/>
          </w:tcPr>
          <w:p>
            <w:r>
              <w:t>0,0037</w:t>
            </w:r>
          </w:p>
        </w:tc>
        <w:tc>
          <w:tcPr>
            <w:tcW w:type="dxa" w:w="1040"/>
            <w:vAlign w:val="center"/>
          </w:tcPr>
          <w:p>
            <w:r>
              <w:t>1,50</w:t>
            </w:r>
          </w:p>
        </w:tc>
        <w:tc>
          <w:tcPr>
            <w:tcW w:type="dxa" w:w="1040"/>
            <w:vAlign w:val="center"/>
          </w:tcPr>
          <w:p>
            <w:r>
              <w:t>0,0200</w:t>
            </w:r>
          </w:p>
        </w:tc>
      </w:tr>
      <w:tr>
        <w:tc>
          <w:tcPr>
            <w:tcW w:type="dxa" w:w="1040"/>
            <w:vAlign w:val="center"/>
          </w:tcPr>
          <w:p>
            <w:r>
              <w:t>A</w:t>
            </w:r>
          </w:p>
        </w:tc>
        <w:tc>
          <w:tcPr>
            <w:tcW w:type="dxa" w:w="1040"/>
            <w:vAlign w:val="center"/>
          </w:tcPr>
          <w:p>
            <w:r>
              <w:t>2,00</w:t>
            </w:r>
          </w:p>
        </w:tc>
        <w:tc>
          <w:tcPr>
            <w:tcW w:type="dxa" w:w="1040"/>
            <w:vAlign w:val="center"/>
          </w:tcPr>
          <w:p>
            <w:r>
              <w:t>Etapa 2: Lombricompostaje</w:t>
            </w:r>
          </w:p>
        </w:tc>
        <w:tc>
          <w:tcPr>
            <w:tcW w:type="dxa" w:w="1040"/>
            <w:vAlign w:val="center"/>
          </w:tcPr>
          <w:p>
            <w:r>
              <w:t>medido</w:t>
            </w:r>
          </w:p>
        </w:tc>
        <w:tc>
          <w:tcPr>
            <w:tcW w:type="dxa" w:w="1040"/>
            <w:vAlign w:val="center"/>
          </w:tcPr>
          <w:p>
            <w:r>
              <w:t>composting_invessel</w:t>
            </w:r>
          </w:p>
        </w:tc>
        <w:tc>
          <w:tcPr>
            <w:tcW w:type="dxa" w:w="1040"/>
            <w:vAlign w:val="center"/>
          </w:tcPr>
          <w:p>
            <w:r>
              <w:t>2,4250</w:t>
            </w:r>
          </w:p>
        </w:tc>
        <w:tc>
          <w:tcPr>
            <w:tcW w:type="dxa" w:w="1040"/>
            <w:vAlign w:val="center"/>
          </w:tcPr>
          <w:p>
            <w:r>
              <w:t>0,0242</w:t>
            </w:r>
          </w:p>
        </w:tc>
        <w:tc>
          <w:tcPr>
            <w:tcW w:type="dxa" w:w="1040"/>
            <w:vAlign w:val="center"/>
          </w:tcPr>
          <w:p>
            <w:r>
              <w:t>0,50</w:t>
            </w:r>
          </w:p>
        </w:tc>
        <w:tc>
          <w:tcPr>
            <w:tcW w:type="dxa" w:w="1040"/>
            <w:vAlign w:val="center"/>
          </w:tcPr>
          <w:p>
            <w:r>
              <w:t>0,0060</w:t>
            </w:r>
          </w:p>
        </w:tc>
      </w:tr>
      <w:tr>
        <w:tc>
          <w:tcPr>
            <w:tcW w:type="dxa" w:w="1040"/>
            <w:vAlign w:val="center"/>
          </w:tcPr>
          <w:p>
            <w:r>
              <w:t>A</w:t>
            </w:r>
          </w:p>
        </w:tc>
        <w:tc>
          <w:tcPr>
            <w:tcW w:type="dxa" w:w="1040"/>
            <w:vAlign w:val="center"/>
          </w:tcPr>
          <w:p>
            <w:r>
              <w:t>3,00</w:t>
            </w:r>
          </w:p>
        </w:tc>
        <w:tc>
          <w:tcPr>
            <w:tcW w:type="dxa" w:w="1040"/>
            <w:vAlign w:val="center"/>
          </w:tcPr>
          <w:p>
            <w:r>
              <w:t>Etapa 3: Almacenamiento de aguas verdes</w:t>
            </w:r>
          </w:p>
        </w:tc>
        <w:tc>
          <w:tcPr>
            <w:tcW w:type="dxa" w:w="1040"/>
            <w:vAlign w:val="center"/>
          </w:tcPr>
          <w:p>
            <w:r>
              <w:t>ipcc</w:t>
            </w:r>
          </w:p>
        </w:tc>
        <w:tc>
          <w:tcPr>
            <w:tcW w:type="dxa" w:w="1040"/>
            <w:vAlign w:val="center"/>
          </w:tcPr>
          <w:p>
            <w:r>
              <w:t>uncovered_anaerobic_lagoon</w:t>
            </w:r>
          </w:p>
        </w:tc>
        <w:tc>
          <w:tcPr>
            <w:tcW w:type="dxa" w:w="1040"/>
            <w:vAlign w:val="center"/>
          </w:tcPr>
          <w:p>
            <w:r>
              <w:t>0,3717</w:t>
            </w:r>
          </w:p>
        </w:tc>
        <w:tc>
          <w:tcPr>
            <w:tcW w:type="dxa" w:w="1040"/>
            <w:vAlign w:val="center"/>
          </w:tcPr>
          <w:p>
            <w:r>
              <w:t>0,0037</w:t>
            </w:r>
          </w:p>
        </w:tc>
        <w:tc>
          <w:tcPr>
            <w:tcW w:type="dxa" w:w="1040"/>
            <w:vAlign w:val="center"/>
          </w:tcPr>
          <w:p>
            <w:r>
              <w:t>80,00</w:t>
            </w:r>
          </w:p>
        </w:tc>
        <w:tc>
          <w:tcPr>
            <w:tcW w:type="dxa" w:w="1040"/>
            <w:vAlign w:val="center"/>
          </w:tcPr>
          <w:p>
            <w:r>
              <w:t>0,0000</w:t>
            </w:r>
          </w:p>
        </w:tc>
      </w:tr>
      <w:tr>
        <w:tc>
          <w:tcPr>
            <w:tcW w:type="dxa" w:w="1040"/>
            <w:vAlign w:val="center"/>
          </w:tcPr>
          <w:p>
            <w:r>
              <w:t>A</w:t>
            </w:r>
          </w:p>
        </w:tc>
        <w:tc>
          <w:tcPr>
            <w:tcW w:type="dxa" w:w="1040"/>
            <w:vAlign w:val="center"/>
          </w:tcPr>
          <w:p>
            <w:r>
              <w:t>4,00</w:t>
            </w:r>
          </w:p>
        </w:tc>
        <w:tc>
          <w:tcPr>
            <w:tcW w:type="dxa" w:w="1040"/>
            <w:vAlign w:val="center"/>
          </w:tcPr>
          <w:p>
            <w:r>
              <w:t>Etapa 4: Aplicación de aguas verdes en campos de pastoreo</w:t>
            </w:r>
          </w:p>
        </w:tc>
        <w:tc>
          <w:tcPr>
            <w:tcW w:type="dxa" w:w="1040"/>
            <w:vAlign w:val="center"/>
          </w:tcPr>
          <w:p>
            <w:r>
              <w:t>ipcc</w:t>
            </w:r>
          </w:p>
        </w:tc>
        <w:tc>
          <w:tcPr>
            <w:tcW w:type="dxa" w:w="1040"/>
            <w:vAlign w:val="center"/>
          </w:tcPr>
          <w:p>
            <w:r>
              <w:t>uncovered_anaerobic_lagoon</w:t>
            </w:r>
          </w:p>
        </w:tc>
        <w:tc>
          <w:tcPr>
            <w:tcW w:type="dxa" w:w="1040"/>
            <w:vAlign w:val="center"/>
          </w:tcPr>
          <w:p>
            <w:r>
              <w:t>0,0072</w:t>
            </w:r>
          </w:p>
        </w:tc>
        <w:tc>
          <w:tcPr>
            <w:tcW w:type="dxa" w:w="1040"/>
            <w:vAlign w:val="center"/>
          </w:tcPr>
          <w:p>
            <w:r>
              <w:t>0,0001</w:t>
            </w:r>
          </w:p>
        </w:tc>
        <w:tc>
          <w:tcPr>
            <w:tcW w:type="dxa" w:w="1040"/>
            <w:vAlign w:val="center"/>
          </w:tcPr>
          <w:p>
            <w:r>
              <w:t>80,00</w:t>
            </w:r>
          </w:p>
        </w:tc>
        <w:tc>
          <w:tcPr>
            <w:tcW w:type="dxa" w:w="1040"/>
            <w:vAlign w:val="center"/>
          </w:tcPr>
          <w:p>
            <w:r>
              <w:t>0,0000</w:t>
            </w:r>
          </w:p>
        </w:tc>
      </w:tr>
      <w:tr>
        <w:tc>
          <w:tcPr>
            <w:tcW w:type="dxa" w:w="1040"/>
            <w:vAlign w:val="center"/>
          </w:tcPr>
          <w:p>
            <w:r>
              <w:t>B</w:t>
            </w:r>
          </w:p>
        </w:tc>
        <w:tc>
          <w:tcPr>
            <w:tcW w:type="dxa" w:w="1040"/>
            <w:vAlign w:val="center"/>
          </w:tcPr>
          <w:p>
            <w:r>
              <w:t>1,00</w:t>
            </w:r>
          </w:p>
        </w:tc>
        <w:tc>
          <w:tcPr>
            <w:tcW w:type="dxa" w:w="1040"/>
            <w:vAlign w:val="center"/>
          </w:tcPr>
          <w:p>
            <w:r>
              <w:t>Etapa 1: Almacenamiento de purines</w:t>
            </w:r>
          </w:p>
        </w:tc>
        <w:tc>
          <w:tcPr>
            <w:tcW w:type="dxa" w:w="1040"/>
            <w:vAlign w:val="center"/>
          </w:tcPr>
          <w:p>
            <w:r>
              <w:t>ipcc</w:t>
            </w:r>
          </w:p>
        </w:tc>
        <w:tc>
          <w:tcPr>
            <w:tcW w:type="dxa" w:w="1040"/>
            <w:vAlign w:val="center"/>
          </w:tcPr>
          <w:p>
            <w:r>
              <w:t>uncovered_anaerobic_lagoon</w:t>
            </w:r>
          </w:p>
        </w:tc>
        <w:tc>
          <w:tcPr>
            <w:tcW w:type="dxa" w:w="1040"/>
            <w:vAlign w:val="center"/>
          </w:tcPr>
          <w:p>
            <w:r>
              <w:t>0,3717</w:t>
            </w:r>
          </w:p>
        </w:tc>
        <w:tc>
          <w:tcPr>
            <w:tcW w:type="dxa" w:w="1040"/>
            <w:vAlign w:val="center"/>
          </w:tcPr>
          <w:p>
            <w:r>
              <w:t>0,0037</w:t>
            </w:r>
          </w:p>
        </w:tc>
        <w:tc>
          <w:tcPr>
            <w:tcW w:type="dxa" w:w="1040"/>
            <w:vAlign w:val="center"/>
          </w:tcPr>
          <w:p>
            <w:r>
              <w:t>80,00</w:t>
            </w:r>
          </w:p>
        </w:tc>
        <w:tc>
          <w:tcPr>
            <w:tcW w:type="dxa" w:w="1040"/>
            <w:vAlign w:val="center"/>
          </w:tcPr>
          <w:p>
            <w:r>
              <w:t>0,0000</w:t>
            </w:r>
          </w:p>
        </w:tc>
      </w:tr>
      <w:tr>
        <w:tc>
          <w:tcPr>
            <w:tcW w:type="dxa" w:w="1040"/>
            <w:vAlign w:val="center"/>
          </w:tcPr>
          <w:p>
            <w:r>
              <w:t>B</w:t>
            </w:r>
          </w:p>
        </w:tc>
        <w:tc>
          <w:tcPr>
            <w:tcW w:type="dxa" w:w="1040"/>
            <w:vAlign w:val="center"/>
          </w:tcPr>
          <w:p>
            <w:r>
              <w:t>2,00</w:t>
            </w:r>
          </w:p>
        </w:tc>
        <w:tc>
          <w:tcPr>
            <w:tcW w:type="dxa" w:w="1040"/>
            <w:vAlign w:val="center"/>
          </w:tcPr>
          <w:p>
            <w:r>
              <w:t>Etapa 2: Aplicación en campo</w:t>
            </w:r>
          </w:p>
        </w:tc>
        <w:tc>
          <w:tcPr>
            <w:tcW w:type="dxa" w:w="1040"/>
            <w:vAlign w:val="center"/>
          </w:tcPr>
          <w:p>
            <w:r>
              <w:t>ipcc</w:t>
            </w:r>
          </w:p>
        </w:tc>
        <w:tc>
          <w:tcPr>
            <w:tcW w:type="dxa" w:w="1040"/>
            <w:vAlign w:val="center"/>
          </w:tcPr>
          <w:p>
            <w:r>
              <w:t>uncovered_anaerobic_lagoon</w:t>
            </w:r>
          </w:p>
        </w:tc>
        <w:tc>
          <w:tcPr>
            <w:tcW w:type="dxa" w:w="1040"/>
            <w:vAlign w:val="center"/>
          </w:tcPr>
          <w:p>
            <w:r>
              <w:t>0,0114</w:t>
            </w:r>
          </w:p>
        </w:tc>
        <w:tc>
          <w:tcPr>
            <w:tcW w:type="dxa" w:w="1040"/>
            <w:vAlign w:val="center"/>
          </w:tcPr>
          <w:p>
            <w:r>
              <w:t>0,0001</w:t>
            </w:r>
          </w:p>
        </w:tc>
        <w:tc>
          <w:tcPr>
            <w:tcW w:type="dxa" w:w="1040"/>
            <w:vAlign w:val="center"/>
          </w:tcPr>
          <w:p>
            <w:r>
              <w:t>80,00</w:t>
            </w:r>
          </w:p>
        </w:tc>
        <w:tc>
          <w:tcPr>
            <w:tcW w:type="dxa" w:w="1040"/>
            <w:vAlign w:val="center"/>
          </w:tcPr>
          <w:p>
            <w:r>
              <w:t>0,0000</w:t>
            </w:r>
          </w:p>
        </w:tc>
      </w:tr>
    </w:tbl>
    <w:p>
      <w:pPr>
        <w:spacing w:line="360" w:lineRule="auto"/>
      </w:pPr>
      <w:r>
        <w:rPr>
          <w:rFonts w:ascii="Times New Roman" w:hAnsi="Times New Roman"/>
          <w:sz w:val="24"/>
        </w:rPr>
        <w:t>Los factores de caracterización aplicados fueron: CH4 = 21 kg CO2-eq/kg, N2O = 310 kg CO2-eq/kg, CO2 = 1 kg CO2-eq/kg, NH3 = 0,35 kg PO4-eq/kg y NO3 = 0,095 kg PO4-eq/kg. Estos factores se sintetizan en el Apéndice G.</w:t>
      </w:r>
    </w:p>
    <w:p>
      <w:pPr>
        <w:spacing w:line="360" w:lineRule="auto"/>
      </w:pPr>
      <w:r>
        <w:rPr>
          <w:rFonts w:ascii="Times New Roman" w:hAnsi="Times New Roman"/>
          <w:b/>
          <w:sz w:val="24"/>
        </w:rPr>
        <w:t>Apéndice G. Factores de caracterización utilizados.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40"/>
        <w:gridCol w:w="2340"/>
        <w:gridCol w:w="2340"/>
        <w:gridCol w:w="2340"/>
      </w:tblGrid>
      <w:tr>
        <w:tc>
          <w:tcPr>
            <w:tcW w:type="dxa" w:w="2340"/>
            <w:vAlign w:val="center"/>
          </w:tcPr>
          <w:p>
            <w:r>
              <w:rPr>
                <w:b/>
              </w:rPr>
              <w:t>Sustancia</w:t>
            </w:r>
          </w:p>
        </w:tc>
        <w:tc>
          <w:tcPr>
            <w:tcW w:type="dxa" w:w="2340"/>
            <w:vAlign w:val="center"/>
          </w:tcPr>
          <w:p>
            <w:r>
              <w:rPr>
                <w:b/>
              </w:rPr>
              <w:t>Categoría de impacto</w:t>
            </w:r>
          </w:p>
        </w:tc>
        <w:tc>
          <w:tcPr>
            <w:tcW w:type="dxa" w:w="2340"/>
            <w:vAlign w:val="center"/>
          </w:tcPr>
          <w:p>
            <w:r>
              <w:rPr>
                <w:b/>
              </w:rPr>
              <w:t>Factor de caracterización</w:t>
            </w:r>
          </w:p>
        </w:tc>
        <w:tc>
          <w:tcPr>
            <w:tcW w:type="dxa" w:w="2340"/>
            <w:vAlign w:val="center"/>
          </w:tcPr>
          <w:p>
            <w:r>
              <w:rPr>
                <w:b/>
              </w:rPr>
              <w:t>Unidad</w:t>
            </w:r>
          </w:p>
        </w:tc>
      </w:tr>
      <w:tr>
        <w:tc>
          <w:tcPr>
            <w:tcW w:type="dxa" w:w="2340"/>
            <w:vAlign w:val="center"/>
          </w:tcPr>
          <w:p>
            <w:r>
              <w:t>CH4</w:t>
            </w:r>
          </w:p>
        </w:tc>
        <w:tc>
          <w:tcPr>
            <w:tcW w:type="dxa" w:w="2340"/>
            <w:vAlign w:val="center"/>
          </w:tcPr>
          <w:p>
            <w:r>
              <w:t>Calentamiento global</w:t>
            </w:r>
          </w:p>
        </w:tc>
        <w:tc>
          <w:tcPr>
            <w:tcW w:type="dxa" w:w="2340"/>
            <w:vAlign w:val="center"/>
          </w:tcPr>
          <w:p>
            <w:r>
              <w:t>21,0000</w:t>
            </w:r>
          </w:p>
        </w:tc>
        <w:tc>
          <w:tcPr>
            <w:tcW w:type="dxa" w:w="2340"/>
            <w:vAlign w:val="center"/>
          </w:tcPr>
          <w:p>
            <w:r>
              <w:t>kg CO2-eq/kg sustancia</w:t>
            </w:r>
          </w:p>
        </w:tc>
      </w:tr>
      <w:tr>
        <w:tc>
          <w:tcPr>
            <w:tcW w:type="dxa" w:w="2340"/>
            <w:vAlign w:val="center"/>
          </w:tcPr>
          <w:p>
            <w:r>
              <w:t>N2O</w:t>
            </w:r>
          </w:p>
        </w:tc>
        <w:tc>
          <w:tcPr>
            <w:tcW w:type="dxa" w:w="2340"/>
            <w:vAlign w:val="center"/>
          </w:tcPr>
          <w:p>
            <w:r>
              <w:t>Calentamiento global</w:t>
            </w:r>
          </w:p>
        </w:tc>
        <w:tc>
          <w:tcPr>
            <w:tcW w:type="dxa" w:w="2340"/>
            <w:vAlign w:val="center"/>
          </w:tcPr>
          <w:p>
            <w:r>
              <w:t>310,0000</w:t>
            </w:r>
          </w:p>
        </w:tc>
        <w:tc>
          <w:tcPr>
            <w:tcW w:type="dxa" w:w="2340"/>
            <w:vAlign w:val="center"/>
          </w:tcPr>
          <w:p>
            <w:r>
              <w:t>kg CO2-eq/kg sustancia</w:t>
            </w:r>
          </w:p>
        </w:tc>
      </w:tr>
      <w:tr>
        <w:tc>
          <w:tcPr>
            <w:tcW w:type="dxa" w:w="2340"/>
            <w:vAlign w:val="center"/>
          </w:tcPr>
          <w:p>
            <w:r>
              <w:t>NH3</w:t>
            </w:r>
          </w:p>
        </w:tc>
        <w:tc>
          <w:tcPr>
            <w:tcW w:type="dxa" w:w="2340"/>
            <w:vAlign w:val="center"/>
          </w:tcPr>
          <w:p>
            <w:r>
              <w:t>Eutrofización</w:t>
            </w:r>
          </w:p>
        </w:tc>
        <w:tc>
          <w:tcPr>
            <w:tcW w:type="dxa" w:w="2340"/>
            <w:vAlign w:val="center"/>
          </w:tcPr>
          <w:p>
            <w:r>
              <w:t>0,3500</w:t>
            </w:r>
          </w:p>
        </w:tc>
        <w:tc>
          <w:tcPr>
            <w:tcW w:type="dxa" w:w="2340"/>
            <w:vAlign w:val="center"/>
          </w:tcPr>
          <w:p>
            <w:r>
              <w:t>kg PO4-eq/kg sustancia</w:t>
            </w:r>
          </w:p>
        </w:tc>
      </w:tr>
      <w:tr>
        <w:tc>
          <w:tcPr>
            <w:tcW w:type="dxa" w:w="2340"/>
            <w:vAlign w:val="center"/>
          </w:tcPr>
          <w:p>
            <w:r>
              <w:t>NO3</w:t>
            </w:r>
          </w:p>
        </w:tc>
        <w:tc>
          <w:tcPr>
            <w:tcW w:type="dxa" w:w="2340"/>
            <w:vAlign w:val="center"/>
          </w:tcPr>
          <w:p>
            <w:r>
              <w:t>Eutrofización</w:t>
            </w:r>
          </w:p>
        </w:tc>
        <w:tc>
          <w:tcPr>
            <w:tcW w:type="dxa" w:w="2340"/>
            <w:vAlign w:val="center"/>
          </w:tcPr>
          <w:p>
            <w:r>
              <w:t>0,0950</w:t>
            </w:r>
          </w:p>
        </w:tc>
        <w:tc>
          <w:tcPr>
            <w:tcW w:type="dxa" w:w="2340"/>
            <w:vAlign w:val="center"/>
          </w:tcPr>
          <w:p>
            <w:r>
              <w:t>kg PO4-eq/kg sustancia</w:t>
            </w:r>
          </w:p>
        </w:tc>
      </w:tr>
      <w:tr>
        <w:tc>
          <w:tcPr>
            <w:tcW w:type="dxa" w:w="2340"/>
            <w:vAlign w:val="center"/>
          </w:tcPr>
          <w:p>
            <w:r>
              <w:t>CO2</w:t>
            </w:r>
          </w:p>
        </w:tc>
        <w:tc>
          <w:tcPr>
            <w:tcW w:type="dxa" w:w="2340"/>
            <w:vAlign w:val="center"/>
          </w:tcPr>
          <w:p>
            <w:r>
              <w:t>Calentamiento global</w:t>
            </w:r>
          </w:p>
        </w:tc>
        <w:tc>
          <w:tcPr>
            <w:tcW w:type="dxa" w:w="2340"/>
            <w:vAlign w:val="center"/>
          </w:tcPr>
          <w:p>
            <w:r>
              <w:t>1,0000</w:t>
            </w:r>
          </w:p>
        </w:tc>
        <w:tc>
          <w:tcPr>
            <w:tcW w:type="dxa" w:w="2340"/>
            <w:vAlign w:val="center"/>
          </w:tcPr>
          <w:p>
            <w:r>
              <w:t>kg CO2-eq/kg sustancia</w:t>
            </w:r>
          </w:p>
        </w:tc>
      </w:tr>
    </w:tbl>
    <w:p>
      <w:pPr>
        <w:pStyle w:val="Heading2"/>
        <w:spacing w:line="360" w:lineRule="auto"/>
      </w:pPr>
      <w:r>
        <w:rPr>
          <w:rFonts w:ascii="Times New Roman" w:hAnsi="Times New Roman"/>
          <w:sz w:val="24"/>
        </w:rPr>
        <w:t>6.4 Emisiones estimadas por etapa y escenario</w:t>
      </w:r>
    </w:p>
    <w:p>
      <w:pPr>
        <w:spacing w:line="360" w:lineRule="auto"/>
      </w:pPr>
      <w:r>
        <w:rPr>
          <w:rFonts w:ascii="Times New Roman" w:hAnsi="Times New Roman"/>
          <w:sz w:val="24"/>
        </w:rPr>
        <w:t>Las emisiones estimadas por escenario mostraron diferencias claras entre alternativas de manejo. El escenario A presentó 9,55 kg CH4/año, 0,79 kg N2O/año, 5,23 kg NH3/año, 19,06 kg NO3/año y 33,65 kg CO2/año. El escenario B presentó 80,59 kg CH4/año, 0,31 kg N2O/año, 6,35 kg NH3/año, 23,17 kg NO3/año y 0 kg CO2/año. Como se muestra en la Figura 4, B1, correspondiente a la Etapa 1: Almacenamiento de purines, fue la mayor fuente de CH4. Además, B1 concentró las mayores emisiones de NH3 y NO3, mientras que A1, correspondiente a la Etapa 1: Precomposteo, fue la mayor fuente de N2O. A2, correspondiente a la Etapa 2: Lombricompostaje, reportó CO2 por el uso de un factor medido. La información detallada por etapa se presenta en el Apéndice H.</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4189623"/>
            <wp:docPr id="4" name="Picture 4"/>
            <wp:cNvGraphicFramePr>
              <a:graphicFrameLocks noChangeAspect="1"/>
            </wp:cNvGraphicFramePr>
            <a:graphic>
              <a:graphicData uri="http://schemas.openxmlformats.org/drawingml/2006/picture">
                <pic:pic>
                  <pic:nvPicPr>
                    <pic:cNvPr id="0" name="fig_06_emisiones_ch4.png"/>
                    <pic:cNvPicPr/>
                  </pic:nvPicPr>
                  <pic:blipFill>
                    <a:blip r:embed="rId12"/>
                    <a:stretch>
                      <a:fillRect/>
                    </a:stretch>
                  </pic:blipFill>
                  <pic:spPr>
                    <a:xfrm>
                      <a:off x="0" y="0"/>
                      <a:ext cx="5669280" cy="4189623"/>
                    </a:xfrm>
                    <a:prstGeom prst="rect"/>
                  </pic:spPr>
                </pic:pic>
              </a:graphicData>
            </a:graphic>
          </wp:inline>
        </w:drawing>
      </w:r>
    </w:p>
    <w:p>
      <w:pPr>
        <w:spacing w:line="360" w:lineRule="auto"/>
        <w:jc w:val="center"/>
      </w:pPr>
      <w:r>
        <w:rPr>
          <w:rFonts w:ascii="Times New Roman" w:hAnsi="Times New Roman"/>
          <w:i/>
          <w:sz w:val="24"/>
        </w:rPr>
        <w:t>Figura 4. Emisiones anuales de CH4 por etapa y escenario.</w:t>
      </w:r>
    </w:p>
    <w:p>
      <w:pPr>
        <w:spacing w:line="360" w:lineRule="auto"/>
      </w:pPr>
      <w:r>
        <w:rPr>
          <w:rFonts w:ascii="Times New Roman" w:hAnsi="Times New Roman"/>
          <w:b/>
          <w:sz w:val="24"/>
        </w:rPr>
        <w:t>Apéndice H. Resumen de emisiones anuales por escenario y sustancia.</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vAlign w:val="center"/>
          </w:tcPr>
          <w:p>
            <w:r>
              <w:rPr>
                <w:b/>
              </w:rPr>
              <w:t>Escenario</w:t>
            </w:r>
          </w:p>
        </w:tc>
        <w:tc>
          <w:tcPr>
            <w:tcW w:type="dxa" w:w="1560"/>
            <w:vAlign w:val="center"/>
          </w:tcPr>
          <w:p>
            <w:r>
              <w:rPr>
                <w:b/>
              </w:rPr>
              <w:t>CH4 (kg/año)</w:t>
            </w:r>
          </w:p>
        </w:tc>
        <w:tc>
          <w:tcPr>
            <w:tcW w:type="dxa" w:w="1560"/>
            <w:vAlign w:val="center"/>
          </w:tcPr>
          <w:p>
            <w:r>
              <w:rPr>
                <w:b/>
              </w:rPr>
              <w:t>N2O (kg/año)</w:t>
            </w:r>
          </w:p>
        </w:tc>
        <w:tc>
          <w:tcPr>
            <w:tcW w:type="dxa" w:w="1560"/>
            <w:vAlign w:val="center"/>
          </w:tcPr>
          <w:p>
            <w:r>
              <w:rPr>
                <w:b/>
              </w:rPr>
              <w:t>NH3 (kg/año)</w:t>
            </w:r>
          </w:p>
        </w:tc>
        <w:tc>
          <w:tcPr>
            <w:tcW w:type="dxa" w:w="1560"/>
            <w:vAlign w:val="center"/>
          </w:tcPr>
          <w:p>
            <w:r>
              <w:rPr>
                <w:b/>
              </w:rPr>
              <w:t>NO3 (kg/año)</w:t>
            </w:r>
          </w:p>
        </w:tc>
        <w:tc>
          <w:tcPr>
            <w:tcW w:type="dxa" w:w="1560"/>
            <w:vAlign w:val="center"/>
          </w:tcPr>
          <w:p>
            <w:r>
              <w:rPr>
                <w:b/>
              </w:rPr>
              <w:t>CO2 (kg/año)</w:t>
            </w:r>
          </w:p>
        </w:tc>
      </w:tr>
      <w:tr>
        <w:tc>
          <w:tcPr>
            <w:tcW w:type="dxa" w:w="1560"/>
            <w:vAlign w:val="center"/>
          </w:tcPr>
          <w:p>
            <w:r>
              <w:t>A</w:t>
            </w:r>
          </w:p>
        </w:tc>
        <w:tc>
          <w:tcPr>
            <w:tcW w:type="dxa" w:w="1560"/>
            <w:vAlign w:val="center"/>
          </w:tcPr>
          <w:p>
            <w:r>
              <w:t>9,55</w:t>
            </w:r>
          </w:p>
        </w:tc>
        <w:tc>
          <w:tcPr>
            <w:tcW w:type="dxa" w:w="1560"/>
            <w:vAlign w:val="center"/>
          </w:tcPr>
          <w:p>
            <w:r>
              <w:t>0,79</w:t>
            </w:r>
          </w:p>
        </w:tc>
        <w:tc>
          <w:tcPr>
            <w:tcW w:type="dxa" w:w="1560"/>
            <w:vAlign w:val="center"/>
          </w:tcPr>
          <w:p>
            <w:r>
              <w:t>5,23</w:t>
            </w:r>
          </w:p>
        </w:tc>
        <w:tc>
          <w:tcPr>
            <w:tcW w:type="dxa" w:w="1560"/>
            <w:vAlign w:val="center"/>
          </w:tcPr>
          <w:p>
            <w:r>
              <w:t>19,06</w:t>
            </w:r>
          </w:p>
        </w:tc>
        <w:tc>
          <w:tcPr>
            <w:tcW w:type="dxa" w:w="1560"/>
            <w:vAlign w:val="center"/>
          </w:tcPr>
          <w:p>
            <w:r>
              <w:t>33,65</w:t>
            </w:r>
          </w:p>
        </w:tc>
      </w:tr>
      <w:tr>
        <w:tc>
          <w:tcPr>
            <w:tcW w:type="dxa" w:w="1560"/>
            <w:vAlign w:val="center"/>
          </w:tcPr>
          <w:p>
            <w:r>
              <w:t>B</w:t>
            </w:r>
          </w:p>
        </w:tc>
        <w:tc>
          <w:tcPr>
            <w:tcW w:type="dxa" w:w="1560"/>
            <w:vAlign w:val="center"/>
          </w:tcPr>
          <w:p>
            <w:r>
              <w:t>80,59</w:t>
            </w:r>
          </w:p>
        </w:tc>
        <w:tc>
          <w:tcPr>
            <w:tcW w:type="dxa" w:w="1560"/>
            <w:vAlign w:val="center"/>
          </w:tcPr>
          <w:p>
            <w:r>
              <w:t>0,31</w:t>
            </w:r>
          </w:p>
        </w:tc>
        <w:tc>
          <w:tcPr>
            <w:tcW w:type="dxa" w:w="1560"/>
            <w:vAlign w:val="center"/>
          </w:tcPr>
          <w:p>
            <w:r>
              <w:t>6,35</w:t>
            </w:r>
          </w:p>
        </w:tc>
        <w:tc>
          <w:tcPr>
            <w:tcW w:type="dxa" w:w="1560"/>
            <w:vAlign w:val="center"/>
          </w:tcPr>
          <w:p>
            <w:r>
              <w:t>23,17</w:t>
            </w:r>
          </w:p>
        </w:tc>
        <w:tc>
          <w:tcPr>
            <w:tcW w:type="dxa" w:w="1560"/>
            <w:vAlign w:val="center"/>
          </w:tcPr>
          <w:p>
            <w:r>
              <w:t>0,00</w:t>
            </w:r>
          </w:p>
        </w:tc>
      </w:tr>
    </w:tbl>
    <w:p>
      <w:pPr>
        <w:pStyle w:val="Heading2"/>
        <w:spacing w:line="360" w:lineRule="auto"/>
      </w:pPr>
      <w:r>
        <w:rPr>
          <w:rFonts w:ascii="Times New Roman" w:hAnsi="Times New Roman"/>
          <w:sz w:val="24"/>
        </w:rPr>
        <w:t>6.5 Impactos ambientales por etapa</w:t>
      </w:r>
    </w:p>
    <w:p>
      <w:pPr>
        <w:spacing w:line="360" w:lineRule="auto"/>
      </w:pPr>
      <w:r>
        <w:rPr>
          <w:rFonts w:ascii="Times New Roman" w:hAnsi="Times New Roman"/>
          <w:sz w:val="24"/>
        </w:rPr>
        <w:t>Los impactos ambientales por etapa evidenciaron una concentración del potencial de calentamiento global en el escenario B. B1, correspondiente a la Etapa 1: Almacenamiento de purines, alcanzó 1737,81 kg CO2-eq/año, mientras que en el escenario A los valores fueron 241,72 kg CO2-eq/año en A1 (Etapa 1: Precomposteo), 86,31 kg CO2-eq/año en A2 (Etapa 2: Lombricompostaje), 121,65 kg CO2-eq/año en A3 (Etapa 3: Almacenamiento de aguas verdes) y 29,10 kg CO2-eq/año en A4 (Etapa 4: Aplicación de aguas verdes en campos de pastoreo). Estos resultados se presentan gráficamente en la Figura 5 y de forma detallada en el Apéndice I.</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2711463"/>
            <wp:docPr id="5" name="Picture 5"/>
            <wp:cNvGraphicFramePr>
              <a:graphicFrameLocks noChangeAspect="1"/>
            </wp:cNvGraphicFramePr>
            <a:graphic>
              <a:graphicData uri="http://schemas.openxmlformats.org/drawingml/2006/picture">
                <pic:pic>
                  <pic:nvPicPr>
                    <pic:cNvPr id="0" name="fig_11_impactos_calentamiento_global_etapa.png"/>
                    <pic:cNvPicPr/>
                  </pic:nvPicPr>
                  <pic:blipFill>
                    <a:blip r:embed="rId13"/>
                    <a:stretch>
                      <a:fillRect/>
                    </a:stretch>
                  </pic:blipFill>
                  <pic:spPr>
                    <a:xfrm>
                      <a:off x="0" y="0"/>
                      <a:ext cx="5669280" cy="2711463"/>
                    </a:xfrm>
                    <a:prstGeom prst="rect"/>
                  </pic:spPr>
                </pic:pic>
              </a:graphicData>
            </a:graphic>
          </wp:inline>
        </w:drawing>
      </w:r>
    </w:p>
    <w:p>
      <w:pPr>
        <w:spacing w:line="360" w:lineRule="auto"/>
        <w:jc w:val="center"/>
      </w:pPr>
      <w:r>
        <w:rPr>
          <w:rFonts w:ascii="Times New Roman" w:hAnsi="Times New Roman"/>
          <w:i/>
          <w:sz w:val="24"/>
        </w:rPr>
        <w:t>Figura 5. Potencial de calentamiento global por etapa y escenario.</w:t>
      </w:r>
    </w:p>
    <w:p>
      <w:pPr>
        <w:spacing w:line="360" w:lineRule="auto"/>
      </w:pPr>
      <w:r>
        <w:rPr>
          <w:rFonts w:ascii="Times New Roman" w:hAnsi="Times New Roman"/>
          <w:sz w:val="24"/>
        </w:rPr>
        <w:t>Para la eutrofización, B1 (Etapa 1: Almacenamiento de purines) presentó 2,78 kg PO4-eq/año y A1 (Etapa 1: Precomposteo) presentó 2,48 kg PO4-eq/año. A2 (Etapa 2: Lombricompostaje) registró 0 kg PO4-eq/año en la tabla final, debido a que dicha tabla no reporta emisiones de NH3 ni NO3 para esa etapa. Como se muestra en la Figura 6, las contribuciones de eutrofización se asociaron con las etapas que reportaron emisiones nitrogenadas relevantes.</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2711463"/>
            <wp:docPr id="6" name="Picture 6"/>
            <wp:cNvGraphicFramePr>
              <a:graphicFrameLocks noChangeAspect="1"/>
            </wp:cNvGraphicFramePr>
            <a:graphic>
              <a:graphicData uri="http://schemas.openxmlformats.org/drawingml/2006/picture">
                <pic:pic>
                  <pic:nvPicPr>
                    <pic:cNvPr id="0" name="fig_12_impactos_eutrofizacion_etapa.png"/>
                    <pic:cNvPicPr/>
                  </pic:nvPicPr>
                  <pic:blipFill>
                    <a:blip r:embed="rId14"/>
                    <a:stretch>
                      <a:fillRect/>
                    </a:stretch>
                  </pic:blipFill>
                  <pic:spPr>
                    <a:xfrm>
                      <a:off x="0" y="0"/>
                      <a:ext cx="5669280" cy="2711463"/>
                    </a:xfrm>
                    <a:prstGeom prst="rect"/>
                  </pic:spPr>
                </pic:pic>
              </a:graphicData>
            </a:graphic>
          </wp:inline>
        </w:drawing>
      </w:r>
    </w:p>
    <w:p>
      <w:pPr>
        <w:spacing w:line="360" w:lineRule="auto"/>
        <w:jc w:val="center"/>
      </w:pPr>
      <w:r>
        <w:rPr>
          <w:rFonts w:ascii="Times New Roman" w:hAnsi="Times New Roman"/>
          <w:i/>
          <w:sz w:val="24"/>
        </w:rPr>
        <w:t>Figura 6. Potencial de eutrofización por etapa y escenario.</w:t>
      </w:r>
    </w:p>
    <w:p>
      <w:pPr>
        <w:spacing w:line="360" w:lineRule="auto"/>
      </w:pPr>
      <w:r>
        <w:rPr>
          <w:rFonts w:ascii="Times New Roman" w:hAnsi="Times New Roman"/>
          <w:b/>
          <w:sz w:val="24"/>
        </w:rPr>
        <w:t>Apéndice I. Resumen de impactos ambientales por etapa.</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2"/>
        <w:gridCol w:w="1872"/>
        <w:gridCol w:w="1872"/>
        <w:gridCol w:w="1872"/>
        <w:gridCol w:w="1872"/>
      </w:tblGrid>
      <w:tr>
        <w:tc>
          <w:tcPr>
            <w:tcW w:type="dxa" w:w="1872"/>
            <w:vAlign w:val="center"/>
          </w:tcPr>
          <w:p>
            <w:r>
              <w:rPr>
                <w:b/>
              </w:rPr>
              <w:t>Escenario</w:t>
            </w:r>
          </w:p>
        </w:tc>
        <w:tc>
          <w:tcPr>
            <w:tcW w:type="dxa" w:w="1872"/>
            <w:vAlign w:val="center"/>
          </w:tcPr>
          <w:p>
            <w:r>
              <w:rPr>
                <w:b/>
              </w:rPr>
              <w:t>Etapa</w:t>
            </w:r>
          </w:p>
        </w:tc>
        <w:tc>
          <w:tcPr>
            <w:tcW w:type="dxa" w:w="1872"/>
            <w:vAlign w:val="center"/>
          </w:tcPr>
          <w:p>
            <w:r>
              <w:rPr>
                <w:b/>
              </w:rPr>
              <w:t>Nombre de etapa</w:t>
            </w:r>
          </w:p>
        </w:tc>
        <w:tc>
          <w:tcPr>
            <w:tcW w:type="dxa" w:w="1872"/>
            <w:vAlign w:val="center"/>
          </w:tcPr>
          <w:p>
            <w:r>
              <w:rPr>
                <w:b/>
              </w:rPr>
              <w:t>Calentamiento global (kg CO2-eq/año)</w:t>
            </w:r>
          </w:p>
        </w:tc>
        <w:tc>
          <w:tcPr>
            <w:tcW w:type="dxa" w:w="1872"/>
            <w:vAlign w:val="center"/>
          </w:tcPr>
          <w:p>
            <w:r>
              <w:rPr>
                <w:b/>
              </w:rPr>
              <w:t>Eutrofización (kg PO4-eq/año)</w:t>
            </w:r>
          </w:p>
        </w:tc>
      </w:tr>
      <w:tr>
        <w:tc>
          <w:tcPr>
            <w:tcW w:type="dxa" w:w="1872"/>
            <w:vAlign w:val="center"/>
          </w:tcPr>
          <w:p>
            <w:r>
              <w:t>A</w:t>
            </w:r>
          </w:p>
        </w:tc>
        <w:tc>
          <w:tcPr>
            <w:tcW w:type="dxa" w:w="1872"/>
            <w:vAlign w:val="center"/>
          </w:tcPr>
          <w:p>
            <w:r>
              <w:t>1,00</w:t>
            </w:r>
          </w:p>
        </w:tc>
        <w:tc>
          <w:tcPr>
            <w:tcW w:type="dxa" w:w="1872"/>
            <w:vAlign w:val="center"/>
          </w:tcPr>
          <w:p>
            <w:r>
              <w:t>Etapa 1: Precomposteo</w:t>
            </w:r>
          </w:p>
        </w:tc>
        <w:tc>
          <w:tcPr>
            <w:tcW w:type="dxa" w:w="1872"/>
            <w:vAlign w:val="center"/>
          </w:tcPr>
          <w:p>
            <w:r>
              <w:t>241,72</w:t>
            </w:r>
          </w:p>
        </w:tc>
        <w:tc>
          <w:tcPr>
            <w:tcW w:type="dxa" w:w="1872"/>
            <w:vAlign w:val="center"/>
          </w:tcPr>
          <w:p>
            <w:r>
              <w:t>2,48</w:t>
            </w:r>
          </w:p>
        </w:tc>
      </w:tr>
      <w:tr>
        <w:tc>
          <w:tcPr>
            <w:tcW w:type="dxa" w:w="1872"/>
            <w:vAlign w:val="center"/>
          </w:tcPr>
          <w:p>
            <w:r>
              <w:t>A</w:t>
            </w:r>
          </w:p>
        </w:tc>
        <w:tc>
          <w:tcPr>
            <w:tcW w:type="dxa" w:w="1872"/>
            <w:vAlign w:val="center"/>
          </w:tcPr>
          <w:p>
            <w:r>
              <w:t>2,00</w:t>
            </w:r>
          </w:p>
        </w:tc>
        <w:tc>
          <w:tcPr>
            <w:tcW w:type="dxa" w:w="1872"/>
            <w:vAlign w:val="center"/>
          </w:tcPr>
          <w:p>
            <w:r>
              <w:t>Etapa 2: Lombricompostaje</w:t>
            </w:r>
          </w:p>
        </w:tc>
        <w:tc>
          <w:tcPr>
            <w:tcW w:type="dxa" w:w="1872"/>
            <w:vAlign w:val="center"/>
          </w:tcPr>
          <w:p>
            <w:r>
              <w:t>86,31</w:t>
            </w:r>
          </w:p>
        </w:tc>
        <w:tc>
          <w:tcPr>
            <w:tcW w:type="dxa" w:w="1872"/>
            <w:vAlign w:val="center"/>
          </w:tcPr>
          <w:p>
            <w:r>
              <w:t>0,00</w:t>
            </w:r>
          </w:p>
        </w:tc>
      </w:tr>
      <w:tr>
        <w:tc>
          <w:tcPr>
            <w:tcW w:type="dxa" w:w="1872"/>
            <w:vAlign w:val="center"/>
          </w:tcPr>
          <w:p>
            <w:r>
              <w:t>A</w:t>
            </w:r>
          </w:p>
        </w:tc>
        <w:tc>
          <w:tcPr>
            <w:tcW w:type="dxa" w:w="1872"/>
            <w:vAlign w:val="center"/>
          </w:tcPr>
          <w:p>
            <w:r>
              <w:t>3,00</w:t>
            </w:r>
          </w:p>
        </w:tc>
        <w:tc>
          <w:tcPr>
            <w:tcW w:type="dxa" w:w="1872"/>
            <w:vAlign w:val="center"/>
          </w:tcPr>
          <w:p>
            <w:r>
              <w:t>Etapa 3: Almacenamiento de aguas verdes</w:t>
            </w:r>
          </w:p>
        </w:tc>
        <w:tc>
          <w:tcPr>
            <w:tcW w:type="dxa" w:w="1872"/>
            <w:vAlign w:val="center"/>
          </w:tcPr>
          <w:p>
            <w:r>
              <w:t>121,65</w:t>
            </w:r>
          </w:p>
        </w:tc>
        <w:tc>
          <w:tcPr>
            <w:tcW w:type="dxa" w:w="1872"/>
            <w:vAlign w:val="center"/>
          </w:tcPr>
          <w:p>
            <w:r>
              <w:t>0,19</w:t>
            </w:r>
          </w:p>
        </w:tc>
      </w:tr>
      <w:tr>
        <w:tc>
          <w:tcPr>
            <w:tcW w:type="dxa" w:w="1872"/>
            <w:vAlign w:val="center"/>
          </w:tcPr>
          <w:p>
            <w:r>
              <w:t>A</w:t>
            </w:r>
          </w:p>
        </w:tc>
        <w:tc>
          <w:tcPr>
            <w:tcW w:type="dxa" w:w="1872"/>
            <w:vAlign w:val="center"/>
          </w:tcPr>
          <w:p>
            <w:r>
              <w:t>4,00</w:t>
            </w:r>
          </w:p>
        </w:tc>
        <w:tc>
          <w:tcPr>
            <w:tcW w:type="dxa" w:w="1872"/>
            <w:vAlign w:val="center"/>
          </w:tcPr>
          <w:p>
            <w:r>
              <w:t>Etapa 4: Aplicación de aguas verdes en campos de pastoreo</w:t>
            </w:r>
          </w:p>
        </w:tc>
        <w:tc>
          <w:tcPr>
            <w:tcW w:type="dxa" w:w="1872"/>
            <w:vAlign w:val="center"/>
          </w:tcPr>
          <w:p>
            <w:r>
              <w:t>29,10</w:t>
            </w:r>
          </w:p>
        </w:tc>
        <w:tc>
          <w:tcPr>
            <w:tcW w:type="dxa" w:w="1872"/>
            <w:vAlign w:val="center"/>
          </w:tcPr>
          <w:p>
            <w:r>
              <w:t>0,97</w:t>
            </w:r>
          </w:p>
        </w:tc>
      </w:tr>
      <w:tr>
        <w:tc>
          <w:tcPr>
            <w:tcW w:type="dxa" w:w="1872"/>
            <w:vAlign w:val="center"/>
          </w:tcPr>
          <w:p>
            <w:r>
              <w:t>B</w:t>
            </w:r>
          </w:p>
        </w:tc>
        <w:tc>
          <w:tcPr>
            <w:tcW w:type="dxa" w:w="1872"/>
            <w:vAlign w:val="center"/>
          </w:tcPr>
          <w:p>
            <w:r>
              <w:t>1,00</w:t>
            </w:r>
          </w:p>
        </w:tc>
        <w:tc>
          <w:tcPr>
            <w:tcW w:type="dxa" w:w="1872"/>
            <w:vAlign w:val="center"/>
          </w:tcPr>
          <w:p>
            <w:r>
              <w:t>Etapa 1: Almacenamiento de purines</w:t>
            </w:r>
          </w:p>
        </w:tc>
        <w:tc>
          <w:tcPr>
            <w:tcW w:type="dxa" w:w="1872"/>
            <w:vAlign w:val="center"/>
          </w:tcPr>
          <w:p>
            <w:r>
              <w:t>1 737,81</w:t>
            </w:r>
          </w:p>
        </w:tc>
        <w:tc>
          <w:tcPr>
            <w:tcW w:type="dxa" w:w="1872"/>
            <w:vAlign w:val="center"/>
          </w:tcPr>
          <w:p>
            <w:r>
              <w:t>2,78</w:t>
            </w:r>
          </w:p>
        </w:tc>
      </w:tr>
      <w:tr>
        <w:tc>
          <w:tcPr>
            <w:tcW w:type="dxa" w:w="1872"/>
            <w:vAlign w:val="center"/>
          </w:tcPr>
          <w:p>
            <w:r>
              <w:t>B</w:t>
            </w:r>
          </w:p>
        </w:tc>
        <w:tc>
          <w:tcPr>
            <w:tcW w:type="dxa" w:w="1872"/>
            <w:vAlign w:val="center"/>
          </w:tcPr>
          <w:p>
            <w:r>
              <w:t>2,00</w:t>
            </w:r>
          </w:p>
        </w:tc>
        <w:tc>
          <w:tcPr>
            <w:tcW w:type="dxa" w:w="1872"/>
            <w:vAlign w:val="center"/>
          </w:tcPr>
          <w:p>
            <w:r>
              <w:t>Etapa 2: Aplicación en campo</w:t>
            </w:r>
          </w:p>
        </w:tc>
        <w:tc>
          <w:tcPr>
            <w:tcW w:type="dxa" w:w="1872"/>
            <w:vAlign w:val="center"/>
          </w:tcPr>
          <w:p>
            <w:r>
              <w:t>49,38</w:t>
            </w:r>
          </w:p>
        </w:tc>
        <w:tc>
          <w:tcPr>
            <w:tcW w:type="dxa" w:w="1872"/>
            <w:vAlign w:val="center"/>
          </w:tcPr>
          <w:p>
            <w:r>
              <w:t>1,65</w:t>
            </w:r>
          </w:p>
        </w:tc>
      </w:tr>
    </w:tbl>
    <w:p>
      <w:pPr>
        <w:pStyle w:val="Heading2"/>
        <w:spacing w:line="360" w:lineRule="auto"/>
      </w:pPr>
      <w:r>
        <w:rPr>
          <w:rFonts w:ascii="Times New Roman" w:hAnsi="Times New Roman"/>
          <w:sz w:val="24"/>
        </w:rPr>
        <w:t>6.6 Impactos totales por escenario</w:t>
      </w:r>
    </w:p>
    <w:p>
      <w:pPr>
        <w:spacing w:line="360" w:lineRule="auto"/>
      </w:pPr>
      <w:r>
        <w:rPr>
          <w:rFonts w:ascii="Times New Roman" w:hAnsi="Times New Roman"/>
          <w:sz w:val="24"/>
        </w:rPr>
        <w:t>Los impactos totales por escenario muestran que el escenario A alcanzó 478,78 kg CO2-eq/año, mientras que el escenario B alcanzó 1787,19 kg CO2-eq/año. Para eutrofización, el escenario A presentó 3,64 kg PO4-eq/año y el escenario B presentó 4,43 kg PO4-eq/año. Los valores completos se presentan en el Apéndice J.</w:t>
      </w:r>
    </w:p>
    <w:p>
      <w:pPr>
        <w:spacing w:line="360" w:lineRule="auto"/>
      </w:pPr>
      <w:r>
        <w:rPr>
          <w:rFonts w:ascii="Times New Roman" w:hAnsi="Times New Roman"/>
          <w:b/>
          <w:sz w:val="24"/>
        </w:rPr>
        <w:t>Apéndice J. Impactos ambientales totales por escenario.</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vAlign w:val="center"/>
          </w:tcPr>
          <w:p>
            <w:r>
              <w:rPr>
                <w:b/>
              </w:rPr>
              <w:t>Escenario</w:t>
            </w:r>
          </w:p>
        </w:tc>
        <w:tc>
          <w:tcPr>
            <w:tcW w:type="dxa" w:w="3120"/>
            <w:vAlign w:val="center"/>
          </w:tcPr>
          <w:p>
            <w:r>
              <w:rPr>
                <w:b/>
              </w:rPr>
              <w:t>Calentamiento global (kg CO2-eq/año)</w:t>
            </w:r>
          </w:p>
        </w:tc>
        <w:tc>
          <w:tcPr>
            <w:tcW w:type="dxa" w:w="3120"/>
            <w:vAlign w:val="center"/>
          </w:tcPr>
          <w:p>
            <w:r>
              <w:rPr>
                <w:b/>
              </w:rPr>
              <w:t>Eutrofización (kg PO4-eq/año)</w:t>
            </w:r>
          </w:p>
        </w:tc>
      </w:tr>
      <w:tr>
        <w:tc>
          <w:tcPr>
            <w:tcW w:type="dxa" w:w="3120"/>
            <w:vAlign w:val="center"/>
          </w:tcPr>
          <w:p>
            <w:r>
              <w:t>A</w:t>
            </w:r>
          </w:p>
        </w:tc>
        <w:tc>
          <w:tcPr>
            <w:tcW w:type="dxa" w:w="3120"/>
            <w:vAlign w:val="center"/>
          </w:tcPr>
          <w:p>
            <w:r>
              <w:t>478,78</w:t>
            </w:r>
          </w:p>
        </w:tc>
        <w:tc>
          <w:tcPr>
            <w:tcW w:type="dxa" w:w="3120"/>
            <w:vAlign w:val="center"/>
          </w:tcPr>
          <w:p>
            <w:r>
              <w:t>3,64</w:t>
            </w:r>
          </w:p>
        </w:tc>
      </w:tr>
      <w:tr>
        <w:tc>
          <w:tcPr>
            <w:tcW w:type="dxa" w:w="3120"/>
            <w:vAlign w:val="center"/>
          </w:tcPr>
          <w:p>
            <w:r>
              <w:t>B</w:t>
            </w:r>
          </w:p>
        </w:tc>
        <w:tc>
          <w:tcPr>
            <w:tcW w:type="dxa" w:w="3120"/>
            <w:vAlign w:val="center"/>
          </w:tcPr>
          <w:p>
            <w:r>
              <w:t>1 787,19</w:t>
            </w:r>
          </w:p>
        </w:tc>
        <w:tc>
          <w:tcPr>
            <w:tcW w:type="dxa" w:w="3120"/>
            <w:vAlign w:val="center"/>
          </w:tcPr>
          <w:p>
            <w:r>
              <w:t>4,43</w:t>
            </w:r>
          </w:p>
        </w:tc>
      </w:tr>
    </w:tbl>
    <w:p>
      <w:pPr>
        <w:pStyle w:val="Heading2"/>
        <w:spacing w:line="360" w:lineRule="auto"/>
      </w:pPr>
      <w:r>
        <w:rPr>
          <w:rFonts w:ascii="Times New Roman" w:hAnsi="Times New Roman"/>
          <w:sz w:val="24"/>
        </w:rPr>
        <w:t>6.7 Comparación entre escenarios</w:t>
      </w:r>
    </w:p>
    <w:p>
      <w:pPr>
        <w:spacing w:line="360" w:lineRule="auto"/>
      </w:pPr>
      <w:r>
        <w:rPr>
          <w:rFonts w:ascii="Times New Roman" w:hAnsi="Times New Roman"/>
          <w:sz w:val="24"/>
        </w:rPr>
        <w:t>La comparación entre escenarios indicó que el calentamiento global fue mayor en el escenario B. El escenario A presentó 478,78 kg CO2-eq/año y el escenario B presentó 1787,19 kg CO2-eq/año, con una diferencia absoluta de 1308,41 kg CO2-eq/año y una diferencia porcentual de 273,28 %. En eutrofización, el escenario A registró 3,64 kg PO4-eq/año y el escenario B 4,43 kg PO4-eq/año, con una diferencia absoluta de 0,786 kg PO4-eq/año y una diferencia porcentual de 21,58 %. Como se muestra en la Figura 7, el incremento relativo fue más marcado en calentamiento global. La comparación completa se presenta en el Apéndice K.</w:t>
      </w:r>
    </w:p>
    <w:p>
      <w:pPr>
        <w:spacing w:line="360" w:lineRule="auto"/>
        <w:jc w:val="center"/>
      </w:pPr>
      <w:r>
        <w:rPr>
          <w:rFonts w:ascii="Times New Roman" w:hAnsi="Times New Roman"/>
          <w:sz w:val="24"/>
        </w:rPr>
        <w:drawing>
          <wp:inline xmlns:a="http://schemas.openxmlformats.org/drawingml/2006/main" xmlns:pic="http://schemas.openxmlformats.org/drawingml/2006/picture">
            <wp:extent cx="5669280" cy="4080700"/>
            <wp:docPr id="7" name="Picture 7"/>
            <wp:cNvGraphicFramePr>
              <a:graphicFrameLocks noChangeAspect="1"/>
            </wp:cNvGraphicFramePr>
            <a:graphic>
              <a:graphicData uri="http://schemas.openxmlformats.org/drawingml/2006/picture">
                <pic:pic>
                  <pic:nvPicPr>
                    <pic:cNvPr id="0" name="fig_15_comparacion_diferencia_porcentual.png"/>
                    <pic:cNvPicPr/>
                  </pic:nvPicPr>
                  <pic:blipFill>
                    <a:blip r:embed="rId15"/>
                    <a:stretch>
                      <a:fillRect/>
                    </a:stretch>
                  </pic:blipFill>
                  <pic:spPr>
                    <a:xfrm>
                      <a:off x="0" y="0"/>
                      <a:ext cx="5669280" cy="4080700"/>
                    </a:xfrm>
                    <a:prstGeom prst="rect"/>
                  </pic:spPr>
                </pic:pic>
              </a:graphicData>
            </a:graphic>
          </wp:inline>
        </w:drawing>
      </w:r>
    </w:p>
    <w:p>
      <w:pPr>
        <w:spacing w:line="360" w:lineRule="auto"/>
        <w:jc w:val="center"/>
      </w:pPr>
      <w:r>
        <w:rPr>
          <w:rFonts w:ascii="Times New Roman" w:hAnsi="Times New Roman"/>
          <w:i/>
          <w:sz w:val="24"/>
        </w:rPr>
        <w:t>Figura 7. Diferencia porcentual del escenario B respecto al escenario A por categoría de impacto.</w:t>
      </w:r>
    </w:p>
    <w:p>
      <w:pPr>
        <w:spacing w:line="360" w:lineRule="auto"/>
      </w:pPr>
      <w:r>
        <w:rPr>
          <w:rFonts w:ascii="Times New Roman" w:hAnsi="Times New Roman"/>
          <w:b/>
          <w:sz w:val="24"/>
        </w:rPr>
        <w:t>Apéndice K. Comparación de impactos ambientales entre escenarios.</w:t>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60"/>
        <w:gridCol w:w="1560"/>
        <w:gridCol w:w="1560"/>
        <w:gridCol w:w="1560"/>
        <w:gridCol w:w="1560"/>
        <w:gridCol w:w="1560"/>
      </w:tblGrid>
      <w:tr>
        <w:tc>
          <w:tcPr>
            <w:tcW w:type="dxa" w:w="1560"/>
            <w:vAlign w:val="center"/>
          </w:tcPr>
          <w:p>
            <w:r>
              <w:rPr>
                <w:b/>
              </w:rPr>
              <w:t>Categoría de impacto</w:t>
            </w:r>
          </w:p>
        </w:tc>
        <w:tc>
          <w:tcPr>
            <w:tcW w:type="dxa" w:w="1560"/>
            <w:vAlign w:val="center"/>
          </w:tcPr>
          <w:p>
            <w:r>
              <w:rPr>
                <w:b/>
              </w:rPr>
              <w:t>Escenario A</w:t>
            </w:r>
          </w:p>
        </w:tc>
        <w:tc>
          <w:tcPr>
            <w:tcW w:type="dxa" w:w="1560"/>
            <w:vAlign w:val="center"/>
          </w:tcPr>
          <w:p>
            <w:r>
              <w:rPr>
                <w:b/>
              </w:rPr>
              <w:t>Escenario B</w:t>
            </w:r>
          </w:p>
        </w:tc>
        <w:tc>
          <w:tcPr>
            <w:tcW w:type="dxa" w:w="1560"/>
            <w:vAlign w:val="center"/>
          </w:tcPr>
          <w:p>
            <w:r>
              <w:rPr>
                <w:b/>
              </w:rPr>
              <w:t>Diferencia absoluta</w:t>
            </w:r>
          </w:p>
        </w:tc>
        <w:tc>
          <w:tcPr>
            <w:tcW w:type="dxa" w:w="1560"/>
            <w:vAlign w:val="center"/>
          </w:tcPr>
          <w:p>
            <w:r>
              <w:rPr>
                <w:b/>
              </w:rPr>
              <w:t>Diferencia porcentual B respecto a A</w:t>
            </w:r>
          </w:p>
        </w:tc>
        <w:tc>
          <w:tcPr>
            <w:tcW w:type="dxa" w:w="1560"/>
            <w:vAlign w:val="center"/>
          </w:tcPr>
          <w:p>
            <w:r>
              <w:rPr>
                <w:b/>
              </w:rPr>
              <w:t>Escenario con mayor impacto</w:t>
            </w:r>
          </w:p>
        </w:tc>
      </w:tr>
      <w:tr>
        <w:tc>
          <w:tcPr>
            <w:tcW w:type="dxa" w:w="1560"/>
            <w:vAlign w:val="center"/>
          </w:tcPr>
          <w:p>
            <w:r>
              <w:t>Calentamiento global</w:t>
            </w:r>
          </w:p>
        </w:tc>
        <w:tc>
          <w:tcPr>
            <w:tcW w:type="dxa" w:w="1560"/>
            <w:vAlign w:val="center"/>
          </w:tcPr>
          <w:p>
            <w:r>
              <w:t>478,78</w:t>
            </w:r>
          </w:p>
        </w:tc>
        <w:tc>
          <w:tcPr>
            <w:tcW w:type="dxa" w:w="1560"/>
            <w:vAlign w:val="center"/>
          </w:tcPr>
          <w:p>
            <w:r>
              <w:t>1 787,19</w:t>
            </w:r>
          </w:p>
        </w:tc>
        <w:tc>
          <w:tcPr>
            <w:tcW w:type="dxa" w:w="1560"/>
            <w:vAlign w:val="center"/>
          </w:tcPr>
          <w:p>
            <w:r>
              <w:t>1 308,414</w:t>
            </w:r>
          </w:p>
        </w:tc>
        <w:tc>
          <w:tcPr>
            <w:tcW w:type="dxa" w:w="1560"/>
            <w:vAlign w:val="center"/>
          </w:tcPr>
          <w:p>
            <w:r>
              <w:t>273,28</w:t>
            </w:r>
          </w:p>
        </w:tc>
        <w:tc>
          <w:tcPr>
            <w:tcW w:type="dxa" w:w="1560"/>
            <w:vAlign w:val="center"/>
          </w:tcPr>
          <w:p>
            <w:r>
              <w:t>B</w:t>
            </w:r>
          </w:p>
        </w:tc>
      </w:tr>
      <w:tr>
        <w:tc>
          <w:tcPr>
            <w:tcW w:type="dxa" w:w="1560"/>
            <w:vAlign w:val="center"/>
          </w:tcPr>
          <w:p>
            <w:r>
              <w:t>Eutrofización</w:t>
            </w:r>
          </w:p>
        </w:tc>
        <w:tc>
          <w:tcPr>
            <w:tcW w:type="dxa" w:w="1560"/>
            <w:vAlign w:val="center"/>
          </w:tcPr>
          <w:p>
            <w:r>
              <w:t>3,64</w:t>
            </w:r>
          </w:p>
        </w:tc>
        <w:tc>
          <w:tcPr>
            <w:tcW w:type="dxa" w:w="1560"/>
            <w:vAlign w:val="center"/>
          </w:tcPr>
          <w:p>
            <w:r>
              <w:t>4,43</w:t>
            </w:r>
          </w:p>
        </w:tc>
        <w:tc>
          <w:tcPr>
            <w:tcW w:type="dxa" w:w="1560"/>
            <w:vAlign w:val="center"/>
          </w:tcPr>
          <w:p>
            <w:r>
              <w:t>0,786</w:t>
            </w:r>
          </w:p>
        </w:tc>
        <w:tc>
          <w:tcPr>
            <w:tcW w:type="dxa" w:w="1560"/>
            <w:vAlign w:val="center"/>
          </w:tcPr>
          <w:p>
            <w:r>
              <w:t>21,58</w:t>
            </w:r>
          </w:p>
        </w:tc>
        <w:tc>
          <w:tcPr>
            <w:tcW w:type="dxa" w:w="1560"/>
            <w:vAlign w:val="center"/>
          </w:tcPr>
          <w:p>
            <w:r>
              <w:t>B</w:t>
            </w:r>
          </w:p>
        </w:tc>
      </w:tr>
    </w:tbl>
    <w:p>
      <w:pPr>
        <w:pStyle w:val="Heading2"/>
        <w:spacing w:line="360" w:lineRule="auto"/>
      </w:pPr>
      <w:r>
        <w:rPr>
          <w:rFonts w:ascii="Times New Roman" w:hAnsi="Times New Roman"/>
          <w:sz w:val="24"/>
        </w:rPr>
        <w:t>Correspondencia entre apéndices y archivos fuente</w:t>
      </w:r>
    </w:p>
    <w:p>
      <w:pPr>
        <w:spacing w:line="360" w:lineRule="auto"/>
      </w:pPr>
      <w:r>
        <w:rPr>
          <w:rFonts w:ascii="Times New Roman" w:hAnsi="Times New Roman"/>
          <w:b/>
          <w:sz w:val="24"/>
        </w:rPr>
      </w:r>
    </w:p>
    <w:tbl>
      <w:tblPr>
        <w:tblStyle w:val="TableGrid"/>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20"/>
        <w:gridCol w:w="3120"/>
        <w:gridCol w:w="3120"/>
      </w:tblGrid>
      <w:tr>
        <w:tc>
          <w:tcPr>
            <w:tcW w:type="dxa" w:w="3120"/>
            <w:vAlign w:val="center"/>
          </w:tcPr>
          <w:p>
            <w:r>
              <w:rPr>
                <w:b/>
              </w:rPr>
              <w:t>Apéndice</w:t>
            </w:r>
          </w:p>
        </w:tc>
        <w:tc>
          <w:tcPr>
            <w:tcW w:type="dxa" w:w="3120"/>
            <w:vAlign w:val="center"/>
          </w:tcPr>
          <w:p>
            <w:r>
              <w:rPr>
                <w:b/>
              </w:rPr>
              <w:t>Contenido</w:t>
            </w:r>
          </w:p>
        </w:tc>
        <w:tc>
          <w:tcPr>
            <w:tcW w:type="dxa" w:w="3120"/>
            <w:vAlign w:val="center"/>
          </w:tcPr>
          <w:p>
            <w:r>
              <w:rPr>
                <w:b/>
              </w:rPr>
              <w:t>Sección de resultados relacionada</w:t>
            </w:r>
          </w:p>
        </w:tc>
      </w:tr>
      <w:tr>
        <w:tc>
          <w:tcPr>
            <w:tcW w:type="dxa" w:w="3120"/>
            <w:vAlign w:val="center"/>
          </w:tcPr>
          <w:p>
            <w:r>
              <w:t>Apéndice D</w:t>
            </w:r>
          </w:p>
        </w:tc>
        <w:tc>
          <w:tcPr>
            <w:tcW w:type="dxa" w:w="3120"/>
            <w:vAlign w:val="center"/>
          </w:tcPr>
          <w:p>
            <w:r>
              <w:t>Caracterización fisicoquímica de las muestras.</w:t>
            </w:r>
          </w:p>
        </w:tc>
        <w:tc>
          <w:tcPr>
            <w:tcW w:type="dxa" w:w="3120"/>
            <w:vAlign w:val="center"/>
          </w:tcPr>
          <w:p>
            <w:r>
              <w:t>Sección 6.1.</w:t>
            </w:r>
          </w:p>
        </w:tc>
      </w:tr>
      <w:tr>
        <w:tc>
          <w:tcPr>
            <w:tcW w:type="dxa" w:w="3120"/>
            <w:vAlign w:val="center"/>
          </w:tcPr>
          <w:p>
            <w:r>
              <w:t>Apéndice E</w:t>
            </w:r>
          </w:p>
        </w:tc>
        <w:tc>
          <w:tcPr>
            <w:tcW w:type="dxa" w:w="3120"/>
            <w:vAlign w:val="center"/>
          </w:tcPr>
          <w:p>
            <w:r>
              <w:t>Flujos del inventario de ciclo de vida.</w:t>
            </w:r>
          </w:p>
        </w:tc>
        <w:tc>
          <w:tcPr>
            <w:tcW w:type="dxa" w:w="3120"/>
            <w:vAlign w:val="center"/>
          </w:tcPr>
          <w:p>
            <w:r>
              <w:t>Sección 6.2.</w:t>
            </w:r>
          </w:p>
        </w:tc>
      </w:tr>
      <w:tr>
        <w:tc>
          <w:tcPr>
            <w:tcW w:type="dxa" w:w="3120"/>
            <w:vAlign w:val="center"/>
          </w:tcPr>
          <w:p>
            <w:r>
              <w:t>Apéndice F</w:t>
            </w:r>
          </w:p>
        </w:tc>
        <w:tc>
          <w:tcPr>
            <w:tcW w:type="dxa" w:w="3120"/>
            <w:vAlign w:val="center"/>
          </w:tcPr>
          <w:p>
            <w:r>
              <w:t>Parámetros utilizados en el modelo ACV.</w:t>
            </w:r>
          </w:p>
        </w:tc>
        <w:tc>
          <w:tcPr>
            <w:tcW w:type="dxa" w:w="3120"/>
            <w:vAlign w:val="center"/>
          </w:tcPr>
          <w:p>
            <w:r>
              <w:t>Sección 6.3.</w:t>
            </w:r>
          </w:p>
        </w:tc>
      </w:tr>
      <w:tr>
        <w:tc>
          <w:tcPr>
            <w:tcW w:type="dxa" w:w="3120"/>
            <w:vAlign w:val="center"/>
          </w:tcPr>
          <w:p>
            <w:r>
              <w:t>Apéndice G</w:t>
            </w:r>
          </w:p>
        </w:tc>
        <w:tc>
          <w:tcPr>
            <w:tcW w:type="dxa" w:w="3120"/>
            <w:vAlign w:val="center"/>
          </w:tcPr>
          <w:p>
            <w:r>
              <w:t>Factores de emisión y caracterización.</w:t>
            </w:r>
          </w:p>
        </w:tc>
        <w:tc>
          <w:tcPr>
            <w:tcW w:type="dxa" w:w="3120"/>
            <w:vAlign w:val="center"/>
          </w:tcPr>
          <w:p>
            <w:r>
              <w:t>Sección 6.3.</w:t>
            </w:r>
          </w:p>
        </w:tc>
      </w:tr>
      <w:tr>
        <w:tc>
          <w:tcPr>
            <w:tcW w:type="dxa" w:w="3120"/>
            <w:vAlign w:val="center"/>
          </w:tcPr>
          <w:p>
            <w:r>
              <w:t>Apéndice H</w:t>
            </w:r>
          </w:p>
        </w:tc>
        <w:tc>
          <w:tcPr>
            <w:tcW w:type="dxa" w:w="3120"/>
            <w:vAlign w:val="center"/>
          </w:tcPr>
          <w:p>
            <w:r>
              <w:t>Emisiones estimadas por etapa y escenario.</w:t>
            </w:r>
          </w:p>
        </w:tc>
        <w:tc>
          <w:tcPr>
            <w:tcW w:type="dxa" w:w="3120"/>
            <w:vAlign w:val="center"/>
          </w:tcPr>
          <w:p>
            <w:r>
              <w:t>Sección 6.4.</w:t>
            </w:r>
          </w:p>
        </w:tc>
      </w:tr>
      <w:tr>
        <w:tc>
          <w:tcPr>
            <w:tcW w:type="dxa" w:w="3120"/>
            <w:vAlign w:val="center"/>
          </w:tcPr>
          <w:p>
            <w:r>
              <w:t>Apéndice I</w:t>
            </w:r>
          </w:p>
        </w:tc>
        <w:tc>
          <w:tcPr>
            <w:tcW w:type="dxa" w:w="3120"/>
            <w:vAlign w:val="center"/>
          </w:tcPr>
          <w:p>
            <w:r>
              <w:t>Impactos ambientales por etapa.</w:t>
            </w:r>
          </w:p>
        </w:tc>
        <w:tc>
          <w:tcPr>
            <w:tcW w:type="dxa" w:w="3120"/>
            <w:vAlign w:val="center"/>
          </w:tcPr>
          <w:p>
            <w:r>
              <w:t>Sección 6.5.</w:t>
            </w:r>
          </w:p>
        </w:tc>
      </w:tr>
      <w:tr>
        <w:tc>
          <w:tcPr>
            <w:tcW w:type="dxa" w:w="3120"/>
            <w:vAlign w:val="center"/>
          </w:tcPr>
          <w:p>
            <w:r>
              <w:t>Apéndice J</w:t>
            </w:r>
          </w:p>
        </w:tc>
        <w:tc>
          <w:tcPr>
            <w:tcW w:type="dxa" w:w="3120"/>
            <w:vAlign w:val="center"/>
          </w:tcPr>
          <w:p>
            <w:r>
              <w:t>Impactos ambientales totales por escenario.</w:t>
            </w:r>
          </w:p>
        </w:tc>
        <w:tc>
          <w:tcPr>
            <w:tcW w:type="dxa" w:w="3120"/>
            <w:vAlign w:val="center"/>
          </w:tcPr>
          <w:p>
            <w:r>
              <w:t>Sección 6.6.</w:t>
            </w:r>
          </w:p>
        </w:tc>
      </w:tr>
      <w:tr>
        <w:tc>
          <w:tcPr>
            <w:tcW w:type="dxa" w:w="3120"/>
            <w:vAlign w:val="center"/>
          </w:tcPr>
          <w:p>
            <w:r>
              <w:t>Apéndice K</w:t>
            </w:r>
          </w:p>
        </w:tc>
        <w:tc>
          <w:tcPr>
            <w:tcW w:type="dxa" w:w="3120"/>
            <w:vAlign w:val="center"/>
          </w:tcPr>
          <w:p>
            <w:r>
              <w:t>Comparación de impactos ambientales entre escenarios.</w:t>
            </w:r>
          </w:p>
        </w:tc>
        <w:tc>
          <w:tcPr>
            <w:tcW w:type="dxa" w:w="3120"/>
            <w:vAlign w:val="center"/>
          </w:tcPr>
          <w:p>
            <w:r>
              <w:t>Sección 6.7.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