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Documento integral de trabajo para revisión académica. La jornada M3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Grupo Intergubernamental de Expertos sobre el Cambio Climático (IPCC, por sus siglas en inglés)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La evidencia sitúa actividades de campo de M1 el 10 de noviembre de 2025; el informe de los Laboratorios de Servicios Analíticos de la Escuela de Química (LASA) identifica esa fecha para el muestreo de estiércol fresco y el 11 de noviembre para su recepción. Los informes del laboratorio agronómico consignan fechas de recepción específicas por material, que no se interpretaron automáticamente como fechas de muestreo. Para M2, la evidencia documental sitúa la preparación de campo el 20 de julio de 2026, las actividades de Bioenergía el 21 de julio y la recepción en LASA el 23 de julio. Estas referencias identifican la cronología documental disponible y no se generalizan a todos los materiales ni se intercambian con las fechas de análisis o emisión de los informes.</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 Bioenergía y otras dos muestras compuestas físicamente independientes destinadas al laboratorio externo: LASA para estiércol fresco y el Laboratorio de Suelos y Foliares del Centro de Investigaciones Agronómicas (CIA) para precompostado. En M2 se obtuvieron tres muestras compuestas por sólido; de cada una se tomaron tres réplicas para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Bioenergía y los laboratorios externos se conservó tomando primero las porciones requeridas para la gravimetría y remitiendo después el material remanente de cada muestra compuesta.</w:t>
      </w:r>
    </w:p>
    <w:p>
      <w:pPr>
        <w:pStyle w:val="Heading3"/>
      </w:pPr>
      <w:r>
        <w:rPr>
          <w:rFonts w:ascii="Times New Roman" w:hAnsi="Times New Roman"/>
          <w:color w:val="000000"/>
        </w:rPr>
        <w:t>4.3.3 Determinaciones en Bioenergía</w:t>
      </w:r>
    </w:p>
    <w:p>
      <w:pPr>
        <w:spacing w:line="240" w:lineRule="auto" w:before="0" w:after="0"/>
        <w:ind w:left="100" w:firstLine="719"/>
        <w:jc w:val="both"/>
      </w:pPr>
      <w:r>
        <w:rPr>
          <w:rFonts w:ascii="Times New Roman" w:hAnsi="Times New Roman"/>
          <w:sz w:val="24"/>
        </w:rPr>
        <w:t>Bioenergía determinó humedad, materia seca, cenizas y sólidos volátiles en estiércol fresco y precompostado, con tres réplicas analíticas por muestra compuesta. Para humedad y materia seca se colocaron aproximadamente 10 g de muestra fresca por réplica en recipientes previamente pesados. Se registraron las masas del recipiente vacío y con muestra mediante balanza analítica; las porciones se secaron en estufa a 105 °C durante 16 h, se enfriaron en desecador y se pesaron nuevamente.</w:t>
      </w:r>
    </w:p>
    <w:p>
      <w:pPr>
        <w:spacing w:line="240" w:lineRule="auto" w:before="0" w:after="0"/>
        <w:ind w:left="100" w:firstLine="719"/>
        <w:jc w:val="both"/>
      </w:pPr>
      <w:r>
        <w:rPr>
          <w:rFonts w:ascii="Times New Roman" w:hAnsi="Times New Roman"/>
          <w:sz w:val="24"/>
        </w:rPr>
        <w:t>Para cenizas y sólidos volátiles se tomó aproximadamente 1 g de la muestra seca, se trató en mufla a 575 °C durante 4 h, se enfrió en desecador y se efectuó la pesada posterior. El registro operativo contemporáneo de M1 consigna además una ventana de operación de seis horas cuya composición no está desglosada. Para el tratamiento se adoptó la confirmación consolidada del ejecutor de cuatro horas a 575 °C; la ventana total se conserva como discrepancia documental y no se reinterpretó como exposición continua a la temperatura objetivo. Las cenizas correspondieron a la fracción mineral remanente y los sólidos volátiles a la fracción de la materia seca perdida durante la calcinación.</w:t>
      </w:r>
    </w:p>
    <w:p>
      <w:pPr>
        <w:spacing w:line="240" w:lineRule="auto" w:before="0" w:after="0"/>
        <w:ind w:left="100" w:firstLine="719"/>
        <w:jc w:val="both"/>
      </w:pPr>
      <w:r>
        <w:rPr>
          <w:rFonts w:ascii="Times New Roman" w:hAnsi="Times New Roman"/>
          <w:sz w:val="24"/>
        </w:rPr>
        <w:t>El procedimiento documenta funcionalmente una estufa de secado, una mufla, balanzas, crisoles y desecadores. No se consignan fabricante, modelo, placa o número de serie porque esa identificación no está confirmada. La ausencia de esos datos instrumentales no altera los tiempos, temperaturas, masas aproximadas ni secuencia de pesada documentados.</w:t>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corrida permanece identificada como PROVISIONAL M1–M2. M3 está pendiente y no interviene en los datos, parámetros, ecuaciones o resultados presentados en esta versión.</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y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 dentro del flujo de trabajo.</w:t>
      </w:r>
    </w:p>
    <w:p>
      <w:pPr>
        <w:spacing w:line="240" w:lineRule="auto" w:before="0" w:after="0"/>
        <w:ind w:left="100" w:firstLine="719"/>
        <w:jc w:val="both"/>
      </w:pPr>
      <w:r>
        <w:rPr>
          <w:rFonts w:ascii="Times New Roman" w:hAnsi="Times New Roman"/>
          <w:sz w:val="24"/>
        </w:rPr>
        <w:t>La procedencia y el tratamiento se registraron por separado. Según la taxonomía adoptada para este TFG, se clasificó como primaria la información obtenida específicamente mediante muestreo, medición, observación o registro directo. Los análisis de CIA y LASA conservaron esta condición cuando correspondieron a muestras del estudio, aunque se ejecutaran como servicio analítico externo. Los datos preexistentes, la literatura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comunicación y registro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spacing w:line="240" w:lineRule="auto" w:before="0" w:after="0"/>
        <w:ind w:left="100" w:firstLine="719"/>
        <w:jc w:val="both"/>
      </w:pPr>
      <w:r>
        <w:rPr>
          <w:rFonts w:ascii="Times New Roman" w:hAnsi="Times New Roman"/>
          <w:sz w:val="24"/>
        </w:rPr>
        <w:t>En estas relaciones, m A1 es la masa recolectada, f recolectada es la fracción del depósito teórico recuperada por paleado, m B1 es la masa total teóricamente depositada y m A3 es la masa remanente arrastrable.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spacing w:line="240" w:lineRule="auto" w:before="0" w:after="0"/>
        <w:ind w:left="100" w:firstLine="719"/>
        <w:jc w:val="both"/>
      </w:pPr>
      <w:r>
        <w:rPr>
          <w:rFonts w:ascii="Times New Roman" w:hAnsi="Times New Roman"/>
          <w:sz w:val="24"/>
        </w:rPr>
        <w:t>En las fronteras frescas A1, A3 y B1, N total,entrada se obtuvo multiplicando la masa fresca de estiércol —sin sumar el agua de lavado— por su fracción húmeda de N. Las mediciones intermedias se conservaron como referencias experimentales y no reinicializaron el balance.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pStyle w:val="Heading3"/>
      </w:pPr>
      <w:r>
        <w:rPr>
          <w:rFonts w:ascii="Times New Roman" w:hAnsi="Times New Roman"/>
          <w:color w:val="000000"/>
        </w:rPr>
        <w:t>4.6.2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spacing w:line="240" w:lineRule="auto" w:before="0" w:after="0"/>
        <w:ind w:left="100" w:firstLine="719"/>
        <w:jc w:val="both"/>
      </w:pPr>
      <w:r>
        <w:rPr>
          <w:rFonts w:ascii="Times New Roman" w:hAnsi="Times New Roman"/>
          <w:sz w:val="24"/>
        </w:rPr>
        <w:t>La Tabla 5 documenta los factores visibles principales y la Figura 2 muestra la escala operacional de los flujos.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4.7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6 resume las emisiones del manejo y la Figura 4 muestra la distribución de CH₄. Las contribuciones operativas de electricidad y diésel se incorporaron en el indicador de cambio climático, manteniendo separada su trazabilidad.</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7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8 presenta la magnitud anual y la Tabla 9 muestra los indicadores por unidad funcional. La Tabla 10 y la Figura 7 presentan la comparación entre escenarios bajo la misma base funcional.</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11 contrasta las estimaciones oficiales de A2: Lombricompostaje con Jjagwe et al. (2019) sobre una base material armonizada. El contraste apoya la interpretación, pero no sustituye el inventario oficial ni constituye una validación formal del modelo.</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12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13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14 conserva la trazabilidad detallada por familia sin convertir los cálculos derivados en una nueva categoría de fuente.</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frecuencias y operación observada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o registro de campo específico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o comunicado;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 de campo y comunicación con operarios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 Tabla 15 permite seguir cada etapa individualmente desde el proceso y el dato de actividad hasta la relación de cálculo, la fuente metodológica y la salida utilizada posteriormente. Las relaciones se recuperan de las fuentes responsables vigentes y no constituyen un modelo paralelo.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Matriz detallada de trazabilidad metodológica por etapa A1–B2.</w:t>
      </w:r>
    </w:p>
    <w:tbl>
      <w:tblPr>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16 documenta el diseño físico ejecutado en M1 y M2, la relación entre muestras compartidas o independientes y la condición de uso de cada determinación. La vista resume la evidencia necesaria para reproducir el diseño sin reemplazar los registros analíticos primarios.</w:t>
      </w:r>
    </w:p>
    <w:p>
      <w:pPr>
        <w:pStyle w:val="Rótuloacadémico"/>
        <w:keepNext/>
      </w:pPr>
      <w:r>
        <w:rPr>
          <w:rFonts w:ascii="Times New Roman" w:hAnsi="Times New Roman"/>
          <w:b/>
          <w:color w:val="000000"/>
        </w:rPr>
        <w:t>Tabla 16</w:t>
      </w:r>
    </w:p>
    <w:p>
      <w:pPr>
        <w:pStyle w:val="Descripciónacadémica"/>
        <w:keepNext/>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Bioenergía y dos independientes para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17 reúne los resultados experimentales intermedios necesarios para seguir la construcción de los parámetros del modelo. Los valores corresponden a la integración vigente y se presentan redondeados solo para lectura; los cálculos conservan la precisión interna de sus fuentes.</w:t>
      </w:r>
    </w:p>
    <w:p>
      <w:pPr>
        <w:pStyle w:val="Rótuloacadémico"/>
        <w:keepNext/>
      </w:pPr>
      <w:r>
        <w:rPr>
          <w:rFonts w:ascii="Times New Roman" w:hAnsi="Times New Roman"/>
          <w:b/>
          <w:color w:val="000000"/>
        </w:rPr>
        <w:t>Tabla 17</w:t>
      </w:r>
    </w:p>
    <w:p>
      <w:pPr>
        <w:pStyle w:val="Descripciónacadémica"/>
        <w:keepNext/>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