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en las dos primeras campañas experimentales. La tercera campaña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permanece pendiente y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designa la tercera campaña prevista, todavía no integrada y, por tanto, ausente de los resultados actuales.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M3 está pendiente y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En Python se realizaron de forma reproducible el inventario, la estimación de emisiones, la caracterización, la agregación, la normalización y los resultados presentados.</w:t>
      </w:r>
    </w:p>
    <w:p>
      <w:pPr>
        <w:spacing w:line="240" w:lineRule="auto" w:before="0" w:after="0"/>
        <w:ind w:left="100" w:firstLine="719"/>
        <w:jc w:val="both"/>
      </w:pPr>
      <w:r>
        <w:rPr>
          <w:rFonts w:ascii="Times New Roman" w:hAnsi="Times New Roman"/>
          <w:sz w:val="24"/>
        </w:rPr>
        <w:t>La comprobación independiente utiliza casos unitarios y cantidades elementales del análisis PROVISIONAL M1–M2. No reconstruye el ACV completo ni los escenarios y etapas como procesos en SimaPro, ni incorpora la contribución eléctrica agregada del IMN como si fuera un flujo elemental. El manuscrito no presenta resultados, concordancias ni discrepancias de la comparación Python–SimaPro y ninguna conclusión depende de esa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corresponden al método aplicado en el estudio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