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una húmedad promedio de 85,77 % y una materia seca de 14,23 %. El estiércol precompostado presentó una húmedad promedio de 77,59 % y una materia seca de 22,41 %.</w:t>
      </w:r>
    </w:p>
    <w:p>
      <w:pPr>
        <w:spacing w:line="240" w:lineRule="auto" w:before="0" w:after="0"/>
        <w:ind w:left="100" w:firstLine="719"/>
        <w:jc w:val="both"/>
      </w:pPr>
      <w:r>
        <w:rPr>
          <w:rFonts w:ascii="Times New Roman" w:hAnsi="Times New Roman"/>
          <w:sz w:val="24"/>
        </w:rPr>
        <w:t>La fracción de sólidos volátiles fue mayor en el estiércol fresco, con 85,88 % en base seca, mientras que el estiércol precompostado presentó 70,96 %. En contraste, las cenizas fueron mayores en el material precompostado. El nitrógeno total fue de 0,372 % para estiércol fresco y de 2,425 %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9"/>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0"/>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tal y como fue recolectado del módulo lechero.</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76 557,27 kg eq/año. En el Escenario A, A4: Aplicación de aguas verdes en campos de pastoreo dominó la masa equivalente, con 71 789,81 kg eq/año.</w:t>
      </w:r>
    </w:p>
    <w:p>
      <w:pPr>
        <w:spacing w:line="240" w:lineRule="auto" w:before="0" w:after="0"/>
        <w:ind w:left="100" w:firstLine="719"/>
        <w:jc w:val="both"/>
      </w:pPr>
      <w:r>
        <w:rPr>
          <w:rFonts w:ascii="Times New Roman" w:hAnsi="Times New Roman"/>
          <w:sz w:val="24"/>
        </w:rPr>
        <w:t>La masa equivalente de A4 integra el componente líquido de aguas verdes y una fracción de boñiga asociada a esa línea. La masa equivalente de B2 integra agua de lavado y boñiga fresca incorporada al purín aplicado en campo.</w:t>
      </w:r>
    </w:p>
    <w:p>
      <w:pPr>
        <w:spacing w:line="240" w:lineRule="auto" w:before="0" w:after="0"/>
        <w:ind w:left="100" w:firstLine="719"/>
        <w:jc w:val="both"/>
      </w:pPr>
      <w:r>
        <w:rPr>
          <w:rFonts w:ascii="Times New Roman" w:hAnsi="Times New Roman"/>
          <w:sz w:val="24"/>
        </w:rPr>
        <w:t>Las etapas con menor masa equivalente fueron A3: Almacenamiento de aguas verdes y A2: Lombricompostaje.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4 767,46</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5 126,3</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76 557,27</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utilizados en el modelo se organizaron por escenario y etapa. La tabla final distingue entre N total reportado (%), que corresponde al nitrógeno total reportado en porcentaje, y Fracción másica de N, que corresponde a la fracción másica usada en ecuaciones de nitrógeno. La relación aplicada fue Fracción másica de N = N total reportado (%) / 100.</w:t>
      </w:r>
    </w:p>
    <w:p>
      <w:pPr>
        <w:spacing w:line="240" w:lineRule="auto" w:before="0" w:after="0"/>
        <w:ind w:left="100" w:firstLine="719"/>
        <w:jc w:val="both"/>
      </w:pPr>
      <w:r>
        <w:rPr>
          <w:rFonts w:ascii="Times New Roman" w:hAnsi="Times New Roman"/>
          <w:sz w:val="24"/>
        </w:rPr>
        <w:t>A2: Lombricompostaje aparece como etapa con modelo Factor medido. Las demás etapas se calculan con modelo IPCC según el sistema de manejo asignado. La Tabla 3 resume los parámetros principales.</w:t>
      </w:r>
    </w:p>
    <w:p>
      <w:pPr>
        <w:spacing w:line="240" w:lineRule="auto" w:before="0" w:after="0"/>
        <w:ind w:left="100" w:firstLine="719"/>
        <w:jc w:val="both"/>
      </w:pPr>
      <w:r>
        <w:rPr>
          <w:rFonts w:ascii="Times New Roman" w:hAnsi="Times New Roman"/>
          <w:sz w:val="24"/>
        </w:rPr>
        <w:t>Los factores vinculados con las ecuaciones de emisiones siguen la metodología IPCC, mientras que los factores Factor medidos por unidad de residuo seco utilizados en A2 proceden de Jjagwe et al. (2019).</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9,55 kg CH₄/año, 0,79 kg N₂O/año, 5,23 kg NH₃/año, 19,06 kg NO₃⁻/año y 33,65 kg CO₂/año. El Escenario B presentó 80,59 kg CH₄/año, 0,31 kg N₂O/año, 6,35 kg NH₃/año y 23,17 kg NO₃⁻/año.</w:t>
      </w:r>
    </w:p>
    <w:p>
      <w:pPr>
        <w:spacing w:line="240" w:lineRule="auto" w:before="0" w:after="0"/>
        <w:ind w:left="100" w:firstLine="719"/>
        <w:jc w:val="both"/>
      </w:pPr>
      <w:r>
        <w:rPr>
          <w:rFonts w:ascii="Times New Roman" w:hAnsi="Times New Roman"/>
          <w:sz w:val="24"/>
        </w:rPr>
        <w:t>B1: Almacenamiento de purines presentó la mayor contribución de CH₄. A1: Precomposteo presentó la mayor emisión de N₂O. A2: Lombricompostaje reportó CO₂ por el uso de un factor Factor medido.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4200583"/>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2"/>
                    <a:stretch>
                      <a:fillRect/>
                    </a:stretch>
                  </pic:blipFill>
                  <pic:spPr>
                    <a:xfrm>
                      <a:off x="0" y="0"/>
                      <a:ext cx="5669280" cy="4200583"/>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muestran que B1: Almacenamiento de purines presentó la mayor contribución al potencial de calentamiento global, con 1 737,81 kg CO₂-eq/año. En el Escenario A, A1: Precomposteo presentó la mayor contribución a esta categoría.</w:t>
      </w:r>
    </w:p>
    <w:p>
      <w:pPr>
        <w:spacing w:line="240" w:lineRule="auto" w:before="0" w:after="0"/>
        <w:ind w:left="100" w:firstLine="719"/>
        <w:jc w:val="both"/>
      </w:pPr>
      <w:r>
        <w:rPr>
          <w:rFonts w:ascii="Times New Roman" w:hAnsi="Times New Roman"/>
          <w:sz w:val="24"/>
        </w:rPr>
        <w:t>Para eutrofización, B1: Almacenamiento de purines presentó el valor más alto, seguido por A1: Precomposteo. A2: Lombricompostaje registró 0 kg PO₄-eq/año en la tabla final, debido a que no reporta emisiones de NH₃ ni NO₃⁻ en la tabla de emisiones por etapa. La Tabla 5 resume los impactos por etapa; la Figura 5 presenta calentamiento global y la Figura 6 presenta eutrofización.</w:t>
      </w:r>
    </w:p>
    <w:p>
      <w:pPr>
        <w:spacing w:line="240" w:lineRule="auto" w:before="0" w:after="0"/>
        <w:ind w:left="100" w:firstLine="719"/>
        <w:jc w:val="both"/>
      </w:pPr>
      <w:r>
        <w:rPr>
          <w:rFonts w:ascii="Times New Roman" w:hAnsi="Times New Roman"/>
          <w:sz w:val="24"/>
        </w:rPr>
        <w:t>Los factores de caracterización para calentamiento global se referencian al IMN (2021), mientras que los factores de eutrofización se basan en Ecobilan (1999, como se citó en Vallejo, 2004).</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241,72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86,31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0,19</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0,97</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1 737,81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2,78</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49,38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1,65</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Potencial de calentamiento global por etapa y escenario.</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lentamiento_global_etapa.png"/>
                    <pic:cNvPicPr/>
                  </pic:nvPicPr>
                  <pic:blipFill>
                    <a:blip r:embed="rId13"/>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Potencial de eutrofización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etapa.png"/>
                    <pic:cNvPicPr/>
                  </pic:nvPicPr>
                  <pic:blipFill>
                    <a:blip r:embed="rId14"/>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El Escenario A alcanzó 478,78 kg CO₂-eq/año para calentamiento global y 3,64 kg PO₄-eq/año para eutrofización. El Escenario B alcanzó 1 787,19 kg CO₂-eq/año para calentamiento global y 4,43 kg PO₄-eq/año para eutrofización.</w:t>
      </w:r>
    </w:p>
    <w:p>
      <w:pPr>
        <w:spacing w:line="240" w:lineRule="auto" w:before="0" w:after="0"/>
        <w:ind w:left="100" w:firstLine="719"/>
        <w:jc w:val="both"/>
      </w:pPr>
      <w:r>
        <w:rPr>
          <w:rFonts w:ascii="Times New Roman" w:hAnsi="Times New Roman"/>
          <w:sz w:val="24"/>
        </w:rPr>
        <w:t>La Tabla 6 presenta la agregación por escenario y conserva las categorías de impacto y unidades definidas en las tablas finales validadas.</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478,78</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4,43</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entre escenarios muestra mayores impactos totales en el Escenario B para las dos categorías evaluadas. En calentamiento global, la diferencia absoluta B menos A fue de 1 308,41 kg CO₂-eq/año, equivalente a 273,28 % respecto al Escenario A.</w:t>
      </w:r>
    </w:p>
    <w:p>
      <w:pPr>
        <w:spacing w:line="240" w:lineRule="auto" w:before="0" w:after="0"/>
        <w:ind w:left="100" w:firstLine="719"/>
        <w:jc w:val="both"/>
      </w:pPr>
      <w:r>
        <w:rPr>
          <w:rFonts w:ascii="Times New Roman" w:hAnsi="Times New Roman"/>
          <w:sz w:val="24"/>
        </w:rPr>
        <w:t>En eutrofización, la diferencia absoluta fue de 0,786 kg PO₄-eq/año, equivalente a 21,58 % respecto al Escenario A. La Tabla 7 resume la comparación entre escenarios y la Figura 7 presenta la diferencia porcentual por categoría de impacto.</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1 308,414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5_comparacion_diferencia_porcentual.png"/>
                    <pic:cNvPicPr/>
                  </pic:nvPicPr>
                  <pic:blipFill>
                    <a:blip r:embed="rId15"/>
                    <a:stretch>
                      <a:fillRect/>
                    </a:stretch>
                  </pic:blipFill>
                  <pic:spPr>
                    <a:xfrm>
                      <a:off x="0" y="0"/>
                      <a:ext cx="5669280" cy="4092512"/>
                    </a:xfrm>
                    <a:prstGeom prst="rect"/>
                  </pic:spPr>
                </pic:pic>
              </a:graphicData>
            </a:graphic>
          </wp:inline>
        </w:drawing>
      </w:r>
    </w:p>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85,7698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0,6205</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0,6205</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0,6677</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0,6677</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3 716,6667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3,9269</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3,9269</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29,0414</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4,256</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4,256</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24 250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de estimación de CH₄</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modelo con estructura 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unidad equivalente del modelo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ausencia de codigestión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5 y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6 y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24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 (44/28)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 (17/14)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y estequiométrica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0,0107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3,5546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12,9638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Dioxido de carbono Factor Factor medido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5,6411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0,0103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1,0191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1,3919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5,0765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80,5873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14,5592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8,6141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29,5101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212,2105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3,5546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1,2441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12,9638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1,2316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52,6551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5,6411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118,4634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3,1835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1,0191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0,0968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29,1005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1,3919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0,4872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5,0765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80,5873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1 692,334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45,4789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1,3972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14,5592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49,3798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0,8267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8,6141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478,7789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3,6397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1 787,1927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478,7789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1 308,4138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273,2814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21,5841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6"/>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7"/>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8"/>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3957541"/>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1"/>
                    <a:stretch>
                      <a:fillRect/>
                    </a:stretch>
                  </pic:blipFill>
                  <pic:spPr>
                    <a:xfrm>
                      <a:off x="0" y="0"/>
                      <a:ext cx="5669280" cy="3957541"/>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potencial total de calentamiento global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3_comparacion_total_calentamiento_global.png"/>
                    <pic:cNvPicPr/>
                  </pic:nvPicPr>
                  <pic:blipFill>
                    <a:blip r:embed="rId22"/>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del potencial total de eutrofización entre escenarios.</w:t>
      </w:r>
    </w:p>
    <w:p>
      <w:pPr>
        <w:ind w:left="0" w:firstLine="0"/>
        <w:jc w:val="center"/>
      </w:pPr>
      <w:r>
        <w:drawing>
          <wp:inline xmlns:a="http://schemas.openxmlformats.org/drawingml/2006/main" xmlns:pic="http://schemas.openxmlformats.org/drawingml/2006/picture">
            <wp:extent cx="5669280" cy="4085781"/>
            <wp:docPr id="15" name="Picture 15"/>
            <wp:cNvGraphicFramePr>
              <a:graphicFrameLocks noChangeAspect="1"/>
            </wp:cNvGraphicFramePr>
            <a:graphic>
              <a:graphicData uri="http://schemas.openxmlformats.org/drawingml/2006/picture">
                <pic:pic>
                  <pic:nvPicPr>
                    <pic:cNvPr id="0" name="fig_14_comparacion_total_eutrofizacion.png"/>
                    <pic:cNvPicPr/>
                  </pic:nvPicPr>
                  <pic:blipFill>
                    <a:blip r:embed="rId23"/>
                    <a:stretch>
                      <a:fillRect/>
                    </a:stretch>
                  </pic:blipFill>
                  <pic:spPr>
                    <a:xfrm>
                      <a:off x="0" y="0"/>
                      <a:ext cx="5669280" cy="4085781"/>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