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Versión provisional actualizada en octubre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spacing w:line="240" w:lineRule="auto" w:before="0" w:after="0"/>
        <w:ind w:left="100" w:firstLine="719"/>
        <w:jc w:val="both"/>
      </w:pPr>
      <w:r>
        <w:rPr>
          <w:rFonts w:ascii="Times New Roman" w:hAnsi="Times New Roman"/>
          <w:sz w:val="24"/>
        </w:rPr>
        <w:t>Apéndice F. Trazabilidad de la verificación independiente Python–SimaPro</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ILCD</w:t>
      </w:r>
      <w:r>
        <w:rPr>
          <w:rFonts w:ascii="Times New Roman" w:hAnsi="Times New Roman"/>
          <w:sz w:val="24"/>
        </w:rPr>
        <w:t xml:space="preserve"> — Sistema Internacional de Datos de Referencia sobre Ciclo de Vida; International Reference Life Cycle Data System (denominación original en inglés)</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influidas por factores como el cambio climático y el incremento de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parte, el lombricompostaje, así como otros procesos de compostaje, genera óxido nitroso, amoníaco y metano (IMN, 2021; Komakech et al., 2016). Por lo tanto, estas prácticas contribuyen a las emisiones globales de gases de efecto invernadero (GEI). Según el Instituto Meteorológico Nacional (IMN, 2021), las emisiones del sector agricultura en 2017 fueron de 2962,8 Gg de CO₂ eq, de las cuales el 7 % correspondió a la categoría denominada gestión del estiércol. En ese mismo año, la emisión de metano de esta categoría fue de 1,841 Gg de CH₄, de la cual el 11,6 % fue generado por el ganado de leche.</w:t>
      </w:r>
    </w:p>
    <w:p>
      <w:pPr>
        <w:spacing w:line="240" w:lineRule="auto" w:before="0" w:after="0"/>
        <w:ind w:left="100" w:firstLine="719"/>
        <w:jc w:val="both"/>
      </w:pPr>
      <w:r>
        <w:rPr>
          <w:rFonts w:ascii="Times New Roman" w:hAnsi="Times New Roman"/>
          <w:sz w:val="24"/>
        </w:rPr>
        <w:t>Por otra parte, la gestión inadecuada de estos residuos puede generar problemas ambientales, como la contaminación del suelo y de las aguas subterráneas. Además, puede causar eutrofización en cuerpos de agua debido al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tomar decisiones informadas, basadas en datos concretos, que ayuden a reducir los efectos negativos sobre el medio ambiente y la salud humana. Asimismo, es crucial fomentar alternativas para una gestión adecuada de los residuos y contribuir al cumplimiento de la Agenda 2030 y sus objetivos de desarrollo sostenible, entre ellos el 3, salud y bienestar; el 6, agua limpia y saneamiento; el 12, producción y consumo responsables; y el 13, acción por el clima.</w:t>
      </w:r>
    </w:p>
    <w:p>
      <w:pPr>
        <w:spacing w:line="240" w:lineRule="auto" w:before="0" w:after="0"/>
        <w:ind w:left="100" w:firstLine="719"/>
        <w:jc w:val="both"/>
      </w:pPr>
      <w:r>
        <w:rPr>
          <w:rFonts w:ascii="Times New Roman" w:hAnsi="Times New Roman"/>
          <w:sz w:val="24"/>
        </w:rPr>
        <w:t>Además de reducir el impacto ambiental, la producción sostenible en lecherías busca disminuir los costos de producción y aprovechar los recursos de manera eficiente, considerando que el 52 % de los costos de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los ejes económico, social y ambiental han mostrado resultados favorables en otras lecherías de la comunidad y permiten a los productores contribuir a la conservación de los ecosistemas y los recursos hídricos mediante el manejo integral de la cosecha, el suelo y los desechos. Se ha reportado una reducción del 50 % en la factura de fertilizantes como resultado del aprovechamiento de los residuos de la actividad productiva como fertilizantes orgánicos en las fincas (Fernández,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orientadas a reducir el impacto ambiental. La mayor parte del estiércol generado durante las labores de ordeño se destina al lombricompostaje, como se describe en Vargas Sarmiento (2023). Una parte menor, generalmente estiércol líquido conocido como aguas verdes, se recolecta y acumula durante dos o tres días en un tanque para luego aplicarla en el campo como enmienda agrícola.</w:t>
      </w:r>
    </w:p>
    <w:p>
      <w:pPr>
        <w:spacing w:line="240" w:lineRule="auto" w:before="0" w:after="0"/>
        <w:ind w:left="100" w:firstLine="719"/>
        <w:jc w:val="both"/>
      </w:pPr>
      <w:r>
        <w:rPr>
          <w:rFonts w:ascii="Times New Roman" w:hAnsi="Times New Roman"/>
          <w:sz w:val="24"/>
        </w:rPr>
        <w:t>Sin embargo, no se dispone de datos sobre los GEI o los lixiviados emitidos por el procesamiento del estiércol bovino mediante lombricompostaje en la lechería de la Sede del Atlántico, ni por su almacenamiento y aplicación directa en los campos de pastoreo. Por ello, la lechería de la Sede del Atlántico, como finca modelo, debe generar información que permita conocer el impacto ambiental derivado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ellos destacan las condiciones del alojamiento, como la superficie disponible por animal y el ancho y diseño de los pasillos; el tipo de animal, por ejemplo, vaca lechera, novilla o ganado de engorde; y la composición de la dieta, con predominio de ensilado de maíz, hierba o heno. Otros factores son la cantidad y calidad del material absorbente utilizado en las camas, la frecuencia y el método de encamado, la regularidad de la limpieza y la disponibilidad de mano de obra. Estos aspectos influyen directamente en la consistencia y fluidez de las excretas y, por tanto, en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materia seca (MS). Se reconocen tres categorías: sólidas (más del 20 % de MS), semisólidas (10–22 % de MS) y líquidas o semilíquidas (0–15 % de MS). Los residuos sólidos pueden almacenarse en pilas y manipularse con un cargador frontal de tractor. Los residuos líquidos requieren bombas de succión o la adición de material absorbente para facilitar su manejo. Por su parte, los residuos semisólidos presentan variabilidad según el tipo de sólidos y su rango de MS (10–20 %), por lo que el porcentaje de MS no determina de manera uniforme sus propiedades de manejo.</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consiste en la biodegradación de residuos orgánicos mediante lombrices y microorganismos, se ha identificado como una tecnología efectiva y relativamente económica para el manejo del estiércol bovino. Esta técnica también se considera un proceso bioecológicamente sostenible, ya que produce recursos biológicos renovables con valor agregado. De este modo se generan tanto lombricompost,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 en Costa Rica se ha utilizado durante varios años la práctica de aplicar purines a los campos de pastoreo. Estos pueden incluir estiércol, aguas de lavado, agua de lluvia, restos de alimento balanceado y desechos de cama, entre otros (IMN, 2021). Rojas y Elizondo (2020) describieron esta práctica como una alternativa ecológica a la aplicación de fertilizantes químicos para aportar nutrientes a los forrajes destinados a la alimentación animal. Los purines pueden aplicarse manualmente con palas y cubetas o mediante una bomba de aspersión; la elección depende de las condiciones específicas de manejo del estiércol en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desde la obtención de materias primas, su producción y uso hasta el manejo de los residuos. Aunque enfrenta limitaciones, como dificultades de interpretación pese al marco general establecido por la Organización Internacional de Normalización (ISO), su capacidad para ofrecer una visión global lo hace útil para la gestión ambiental (Curran, 2013).</w:t>
      </w:r>
    </w:p>
    <w:p>
      <w:pPr>
        <w:spacing w:line="240" w:lineRule="auto" w:before="0" w:after="0"/>
        <w:ind w:left="100" w:firstLine="719"/>
        <w:jc w:val="both"/>
      </w:pPr>
      <w:r>
        <w:rPr>
          <w:rFonts w:ascii="Times New Roman" w:hAnsi="Times New Roman"/>
          <w:sz w:val="24"/>
        </w:rPr>
        <w:t>Una de las perspectivas utilizadas en el ACV es la de «cuna a tumba», que evalúa los sistemas desde la extracción de materias primas hasta la creación del producto y el retorno final de los materiales al entorno. Este análisis considera interdependiente cada etapa de la vida de un producto, de modo que una operación afecta a la siguiente. El ACV permite estimar impactos ambientales acumulativos y abarca etapas que suelen omitirse en análisis tradicionales, como la extracción de materias primas, el transporte y la eliminación del producto. Al considerar el ciclo de vida completo, ofrece una visión detallada de los aspectos ambientales y una comprensión más precisa de las compensaciones asociadas con la selección de productos y procesos (Curran, 2006).</w:t>
      </w:r>
    </w:p>
    <w:p>
      <w:pPr>
        <w:spacing w:line="240" w:lineRule="auto" w:before="0" w:after="0"/>
        <w:ind w:left="100" w:firstLine="719"/>
        <w:jc w:val="both"/>
      </w:pPr>
      <w:r>
        <w:rPr>
          <w:rFonts w:ascii="Times New Roman" w:hAnsi="Times New Roman"/>
          <w:sz w:val="24"/>
        </w:rPr>
        <w:t>La metodología de ACV para sistemas de gestión de residuos, conforme a la norma ISO 14040 (International Organization for Standardization, 2006), comprende cuatro fases interrelacionadas. La primera es la definición clara del objetivo y el alcance del estudio, que incluye la selección de una unidad funcional, entendida como una descripción cuantificada del desempeño del sistema de producto. En esta fase se identifican los escenarios que se compararán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elabora un inventario de entradas y salidas de energía y materiales, así como de emisiones al ambiente, mediante el análisis del Inventario del Ciclo de Vida (ICV). Esto abarca actividades como la extracción de materias primas, el transporte, el procesamiento y la disposición de residuos, junto con los insumos de energía y materiales involucrados. El análisis de ICV depende de factores como el tipo y la cantidad de recursos naturales utilizados, los materiales empleados en la fabricación, los modos de transporte, el uso del producto a lo largo de su vida útil y su método final de eliminación. La influencia de estos elementos puede variar según la región: un área puede carecer de recursos para fabricar un producto específico, mientras otra puede emplear tecnologías distintas o depender en mayor medida de fuentes renovables o de combustibles fósiles. Estas diferencias regionales pueden influir en los supuestos y restricciones necesarios del estudio de ACV (Curran, 2006).</w:t>
      </w:r>
    </w:p>
    <w:p>
      <w:pPr>
        <w:spacing w:line="240" w:lineRule="auto" w:before="0" w:after="0"/>
        <w:ind w:left="100" w:firstLine="719"/>
        <w:jc w:val="both"/>
      </w:pPr>
      <w:r>
        <w:rPr>
          <w:rFonts w:ascii="Times New Roman" w:hAnsi="Times New Roman"/>
          <w:sz w:val="24"/>
        </w:rPr>
        <w:t>La tercera fase es la Evaluación del Impacto del Ciclo de Vida (EICV), en la cual se estiman los impactos ambientales potenciales asociados con las entradas y emisiones identificadas. Esta fase analiza la relevancia de factores como las emisiones de gases de efecto invernadero, el consumo de energía, el uso de agua y la generación de residuos (Macktoobian, 2024).</w:t>
      </w:r>
    </w:p>
    <w:p>
      <w:pPr>
        <w:spacing w:line="240" w:lineRule="auto" w:before="0" w:after="0"/>
        <w:ind w:left="100" w:firstLine="719"/>
        <w:jc w:val="both"/>
      </w:pPr>
      <w:r>
        <w:rPr>
          <w:rFonts w:ascii="Times New Roman" w:hAnsi="Times New Roman"/>
          <w:sz w:val="24"/>
        </w:rPr>
        <w:t>De acuerdo con Macktoobian (2024), los indicadores se obtienen mediante una serie de pasos sugeridos por las normas ISO, algunos obligatorios y otros opcionales. Los pasos obligatorios incluyen la definición y clasificación de categorías de impacto y la caracterización; entre los opcionales se encuentran la normalización y la ponderación. Las categorías se seleccionan para representar los efectos de las emisiones y del consumo de recursos naturales durante la producción, el uso y la disposición del proceso evaluado. En la mayoría de las metodologías de EICV, estos flujos se relacionan con tres áreas principales de protección: la calidad del ecosistema, la salud humana y los recursos naturales. Estas áreas se vinculan con indicadores de punto medio y de punto final.</w:t>
      </w:r>
    </w:p>
    <w:p>
      <w:pPr>
        <w:spacing w:line="240" w:lineRule="auto" w:before="0" w:after="0"/>
        <w:ind w:left="100" w:firstLine="719"/>
        <w:jc w:val="both"/>
      </w:pPr>
      <w:r>
        <w:rPr>
          <w:rFonts w:ascii="Times New Roman" w:hAnsi="Times New Roman"/>
          <w:sz w:val="24"/>
        </w:rPr>
        <w:t>La cuarta fase corresponde a la interpretación de los resultados y facilita una toma de decisiones más informada por parte de los interesados. Puede incluir la comparación del desempeño ambiental de distintos sistemas de gestión de residuos y la identificación de oportunidades de mejora. El análisis de sensibilidad permite evaluar si las incertidumbres de los datos o de los métodos seleccionados afectan los resultados y las conclusiones, con el propósito de aumentar la confianza en su correspondencia con el objetivo del estudio. Puede realizarse mediante escenarios hipotéticos que modifican sistemáticamente parámetros de entrada o mediante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Su exhaustividad depende de las decisiones del estudio; sin embargo, la recolección y la disponibilidad de datos pueden representar un desafío e influir considerablemente en la precisión de los resultados. Por ello, es esencial considerar la disponibilidad de datos, la duración del estudio y los recursos financieros en relación con los beneficios esperados.</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efectos ambientales favorables (Lim et al., 2016). Mediante un ACV aplicado al manejo de residuos municipales, Komakech et al. (2015) concluyeron que un sistema de digestión anaeróbica (DA) presentó mejor desempeño que el compostaje. En comparación con el lombricompostaje, la digestión anaerobia mostró diferencias de 104 kWh/t, 28,6 kg CO₂-eq/t y 126,4 g PO₄³⁻-eq/t en uso de energía, cambio climático y eutrofización, respectivamente. No obstante, los sistemas de compostaje son más sencillos de implementar y, en cambio climático, el lombricompostaje supera al depósito en rellenos sanitarios. Además, su manejo eficiente puede reducir las emisiones y mejorar el desempeño climático.</w:t>
      </w:r>
    </w:p>
    <w:p>
      <w:pPr>
        <w:spacing w:line="240" w:lineRule="auto" w:before="0" w:after="0"/>
        <w:ind w:left="100" w:firstLine="719"/>
        <w:jc w:val="both"/>
      </w:pPr>
      <w:r>
        <w:rPr>
          <w:rFonts w:ascii="Times New Roman" w:hAnsi="Times New Roman"/>
          <w:sz w:val="24"/>
        </w:rPr>
        <w:t>Macktoobian (2024) realizó un ACV detallado del lombricompostaje de residuos orgánicos municipales, con una unidad funcional de 1 kg de lombricompost, datos de la base Ecoinvent y el método ReCiPe. El estudio cuantificó las contribuciones al cambio climático, la eutrofización de agua dulce y la eutrofización marina. El proceso produjo 0,10999 kg CO₂-eq para cambio climático, 1,18 × 10⁻⁸ kg P-eq para eutrofización de agua dulce y 2,17 × 10⁻⁹ kg N-eq para eutrofización marina. Los resultados resaltaron el potencial del lombricompost como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resume la literatura reciente sobre ACV aplicada a sistemas de gestión de estiércol bovino que incluyen almacenamiento de purines, aplicación en campo como enmienda agrícola o lombricompostaje. Para los estudios revisados se identificaron la meta y el alcance, la unidad funcional, las fronteras del sistema, el inventario, la evaluación de impactos y los resultados más relevantes.</w:t>
      </w:r>
    </w:p>
    <w:p>
      <w:pPr>
        <w:spacing w:line="240" w:lineRule="auto" w:before="0" w:after="0"/>
        <w:ind w:left="100" w:firstLine="719"/>
        <w:jc w:val="both"/>
      </w:pPr>
      <w:r>
        <w:rPr>
          <w:rFonts w:ascii="Times New Roman" w:hAnsi="Times New Roman"/>
          <w:sz w:val="24"/>
        </w:rPr>
        <w:t>Komakech et al. (2016) evaluaron un sistema de manejo de excretas mediante lombricompostaje en Kampala, Uganda, y lo compararon con dos escenarios: la práctica habitual de desechar las excretas a cielo abierto y su utilización como fertilizante en jardines. Se consideraron el cambio climático y la eutrofización. La unidad funcional fue una tonelada de residuos animales libres de impurezas, procesada para generar un fertilizante de alta calidad. El alcance comenzó con la recepción de los residuos y concluyó con la aplicación del fertilizante en el campo. Para el inventario se cuantificaron los insumos de materiales y energía, así como las emisiones y los productos generados en cada etapa y sistema, mediante datos de mediciones y literatura especializada.</w:t>
      </w:r>
    </w:p>
    <w:p>
      <w:pPr>
        <w:spacing w:line="240" w:lineRule="auto" w:before="0" w:after="0"/>
        <w:ind w:left="100" w:firstLine="719"/>
        <w:jc w:val="both"/>
      </w:pPr>
      <w:r>
        <w:rPr>
          <w:rFonts w:ascii="Times New Roman" w:hAnsi="Times New Roman"/>
          <w:sz w:val="24"/>
        </w:rPr>
        <w:t>La evaluación de impactos estimó el cambio climático y la eutrofización de cada sistema. Los factores de emisión directa del lombricompostaje fueron 10,8 g, 62,3 g y 12,8 g por megagramo de residuos orgánicos para metano, óxido nitroso y amoníaco, respectivamente. El sistema mostró un desempeño favorable en cambio climático y eutrofización; sin embargo, la disposición inadecuada del lombricompost generado podría aumentar el riesgo de eutrofización.</w:t>
      </w:r>
    </w:p>
    <w:p>
      <w:pPr>
        <w:spacing w:line="240" w:lineRule="auto" w:before="0" w:after="0"/>
        <w:ind w:left="100" w:firstLine="719"/>
        <w:jc w:val="both"/>
      </w:pPr>
      <w:r>
        <w:rPr>
          <w:rFonts w:ascii="Times New Roman" w:hAnsi="Times New Roman"/>
          <w:sz w:val="24"/>
        </w:rPr>
        <w:t>Komakech et al. (2016) analizaron las emisiones gaseosas directas de CH₄, N₂O y NH₃ de sistemas de lombricompostaje con estiércol bovino como sustrato. Sin embargo, las emisiones se midieron una sola vez durante un ciclo completo, por lo que no se obtuvo información sobre su variación entre etapas.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El resumen de Jjagwe et al. (2019) imprime emisiones acumuladas de 102 g CO₂/kg de residuo, 7,6 g CH₄/kg de residuo y 3,943 × 10⁻⁵ g N₂O/kg de residuo en base seca, además de indicar que no se detectó NH₃. La cifra impresa de N₂O no coincide con la escala presentada en los resultados del artículo; por ello, el contraste de este TFG conserva el valor aprobado de 39,43 mg N₂O/kg y documenta la discrepancia en la sección de resultados, sin tratarla como una validación del modelo. En comparación con otros métodos de manejo, el lombricompostaje mostró potencial para conservar nutrientes y reducir emisiones de gases de efecto invernadero. Estos resultados son relevantes porque los datos de emisiones y distribución de nutrientes pueden ser útiles para gestores de residuos, especialistas ambientales y responsables de políticas públicas, así como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630 m s. n. m., en las coordenadas 9°54'12,5" N y 83°40'16,6" O del sistema WGS84. Para la región de Turrialba, Calderón y Chaves (2020) informaron una precipitación total anual promedio de 2.375,6 mm y, en los meses más cálidos, promedios mensuales de temperatura máxima entre 28,2 °C y 28,5 °C. La lechería funcionó como un proyecto de vinculación remunerada externa, dedicado a la producción y venta de leche para fortalecer la investigación y la transferencia tecnológica dirigida a productores de Turrialba y Jiménez. La producción se realizó con semovientes de raza Jersey adaptados a las condiciones tropicales de bajura.</w:t>
      </w:r>
    </w:p>
    <w:p>
      <w:pPr>
        <w:spacing w:line="240" w:lineRule="auto" w:before="0" w:after="0"/>
        <w:ind w:left="100" w:firstLine="719"/>
        <w:jc w:val="both"/>
      </w:pPr>
      <w:r>
        <w:rPr>
          <w:rFonts w:ascii="Times New Roman" w:hAnsi="Times New Roman"/>
          <w:sz w:val="24"/>
        </w:rPr>
        <w:t>El procesamiento estudiado correspondió al estiércol del ganado bovino, manejado mediante lombricompostaje y mediante la producción de aguas verdes para su aplicación en campos de pastoreo. Vargas Sarmiento (2023) describió previamente la operación y otros detalles del lombricario en pilas. El área funcional total fue de 156 m², distribuida entre precomposteo, camas y secado, con superficies de 15 m², 60 m² y 81 m², respectivamente. El piso del área y las paredes de las camas se construyeron con cemento y mampostería de bloques de 12 × 20 × 40 cm, respectivamente. La sección de precomposteo midió 10,3 m de largo, 0,64 m de ancho y 1,7 m de profundidad, con un volumen de 11,25 m³. Las camas tuvieron una longitud total de 21,5 m, un ancho de 1,62 m y una profundidad de 0,425 m; se dividieron en cinco unidades, una de ellas con la mitad del ancho indicado, y alcanzaron un volumen total de 13,3 m³.</w:t>
      </w:r>
    </w:p>
    <w:p>
      <w:pPr>
        <w:spacing w:line="240" w:lineRule="auto" w:before="0" w:after="0"/>
        <w:ind w:left="100" w:firstLine="719"/>
        <w:jc w:val="both"/>
      </w:pPr>
      <w:r>
        <w:rPr>
          <w:rFonts w:ascii="Times New Roman" w:hAnsi="Times New Roman"/>
          <w:sz w:val="24"/>
        </w:rPr>
        <w:t>La recolección de residuos se realizó durante la limpieza del área de estancia donde los bovinos esperaban recibir los cuidados rutinarios. Los residuos sólidos se recolectaron manualmente con palas y se transportaron en cubetas hacia la zona de precomposteo. El material remanente, principalmente líquido, se incorporó al agua utilizada para lavar el piso y formó las aguas verdes. Estas fluyeron por gravedad a través del drenaje y se acumularon en una tanqueta, donde permanecieron durante dos o tres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keepLines/>
      </w:pPr>
      <w:r>
        <w:rPr>
          <w:rFonts w:ascii="Times New Roman" w:hAnsi="Times New Roman"/>
          <w:b/>
          <w:color w:val="000000"/>
        </w:rPr>
        <w:t>Tabla 1</w:t>
      </w:r>
    </w:p>
    <w:p>
      <w:pPr>
        <w:pStyle w:val="Descripciónacadémica"/>
        <w:keepNext/>
        <w:keepLines/>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keepLines/>
      </w:pPr>
      <w:r>
        <w:rPr>
          <w:rFonts w:ascii="Times New Roman" w:hAnsi="Times New Roman"/>
          <w:b/>
          <w:color w:val="000000"/>
        </w:rPr>
        <w:t>Tabla 2</w:t>
      </w:r>
    </w:p>
    <w:p>
      <w:pPr>
        <w:pStyle w:val="Descripciónacadémica"/>
        <w:keepNext/>
        <w:keepLines/>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keepLines/>
      </w:pPr>
      <w:r>
        <w:rPr>
          <w:rFonts w:ascii="Times New Roman" w:hAnsi="Times New Roman"/>
          <w:b/>
          <w:color w:val="000000"/>
        </w:rPr>
        <w:t>Tabla 3</w:t>
      </w:r>
    </w:p>
    <w:p>
      <w:pPr>
        <w:pStyle w:val="Descripciónacadémica"/>
        <w:keepNext/>
        <w:keepLines/>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keepLines/>
      </w:pPr>
      <w:r>
        <w:rPr>
          <w:rFonts w:ascii="Times New Roman" w:hAnsi="Times New Roman"/>
          <w:b/>
          <w:color w:val="000000"/>
        </w:rPr>
        <w:t>Tabla 4</w:t>
      </w:r>
    </w:p>
    <w:p>
      <w:pPr>
        <w:pStyle w:val="Descripciónacadémica"/>
        <w:keepNext/>
        <w:keepLines/>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spacing w:line="240" w:lineRule="auto" w:before="0" w:after="0"/>
        <w:ind w:left="100" w:firstLine="719"/>
        <w:jc w:val="both"/>
      </w:pPr>
      <w:r>
        <w:rPr>
          <w:rFonts w:ascii="Times New Roman" w:hAnsi="Times New Roman"/>
          <w:sz w:val="24"/>
        </w:rPr>
        <w:t>El contraste provisional se realizó sobre dos bases. Para A1 se comparó el N residual modelado después del precomposteo con una referencia derivada del N medido en el precompostado, convertido a base húmeda y multiplicado por la masa húmeda inferida de A2. Para A3 y B1 se comparó la concentración de N propagado, expresada sobre la mezcla anual teórica de estiércol y agua de lavado, con la concentración de N total medida en M2 para aguas verdes y purines, respectivamente.</w:t>
      </w:r>
    </w:p>
    <w:p>
      <w:pPr>
        <w:spacing w:line="240" w:lineRule="auto" w:before="0" w:after="0"/>
        <w:ind w:left="100" w:firstLine="719"/>
        <w:jc w:val="both"/>
      </w:pPr>
      <w:r>
        <w:rPr>
          <w:rFonts w:ascii="Times New Roman" w:hAnsi="Times New Roman"/>
          <w:sz w:val="24"/>
        </w:rPr>
        <w:t>En los tres casos, la diferencia absoluta se calculó como estimación modelada menos referencia. La diferencia relativa utilizó la referencia como denominador y se expresó en porcentaje. La diferencia absoluta de A1 se expresó en kg N/año; en los líquidos se expresó en puntos porcentuales de N. Los cálculos conservaron la precisión interna y la presentación se redondeó a una decimal para masas y diferencias relativas, y a cuatro decimales para las concentraciones pequeñas y sus diferencias; estos cuatro decimales permiten distinguir las magnitudes comparadas, pero no representan mayor precisión analítica formal de las mediciones del CIA. Estas comparaciones examinan la plausibilidad del balance, pero no constituyen balances experimentales cerrados ni una validación experimental de los factores IPCC–EMEP/EEA.</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pPr>
        <w:pStyle w:val="Rótuloacadémico"/>
        <w:keepNext/>
        <w:keepLines/>
      </w:pPr>
      <w:r>
        <w:rPr>
          <w:rFonts w:ascii="Times New Roman" w:hAnsi="Times New Roman"/>
          <w:b/>
          <w:color w:val="000000"/>
        </w:rPr>
        <w:t>Tabla 5</w:t>
      </w:r>
    </w:p>
    <w:p>
      <w:pPr>
        <w:pStyle w:val="Descripciónacadémica"/>
        <w:keepNext/>
        <w:keepLines/>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27,0</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Notadetabla"/>
      </w:pPr>
      <w:r>
        <w:rPr>
          <w:rFonts w:ascii="Times New Roman" w:hAnsi="Times New Roman"/>
          <w:b/>
        </w:rPr>
        <w:t xml:space="preserve">Nota. </w:t>
      </w:r>
      <w:r>
        <w:rPr>
          <w:rFonts w:ascii="Times New Roman" w:hAnsi="Times New Roman"/>
        </w:rP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La verificación independiente tuvo como propósito el aseguramiento y control de la calidad de la caracterización EF 3.1 implementada en Python. Python permaneció como fuente de verdad del inventario, la estimación de emisiones, la caracterización, la agregación, la normalización y los resultados canónicos. SimaPro no se utilizó para construir el inventario ni para sustituir esos cálculos.</w:t>
      </w:r>
    </w:p>
    <w:p>
      <w:pPr>
        <w:spacing w:line="240" w:lineRule="auto" w:before="0" w:after="0"/>
        <w:ind w:left="100" w:firstLine="719"/>
        <w:jc w:val="both"/>
      </w:pPr>
      <w:r>
        <w:rPr>
          <w:rFonts w:ascii="Times New Roman" w:hAnsi="Times New Roman"/>
          <w:sz w:val="24"/>
        </w:rPr>
        <w:t>La sesión se efectuó el 7 de octubre de 2026 con SimaPro 10.4.0.0 Educational, instalación UCR 004, en el proyecto local MATEO TFG TESTING y con el método Environmental Footprint 3.1 (adapted) V1.05. Se inspeccionaron directamente las nueve combinaciones activas de flujo, compartimento y categoría. Además, se ejecutaron de extremo a extremo cinco procesos unitarios de 1 kg para N₂O, CH₄ biogénico, NH₃, NOx y NO₃⁻. Los factores de CO₂ fósil y CH₄ fósil se inspeccionaron directamente, pero no se ejecutaron procesos unitarios independientes para esos dos flujos.</w:t>
      </w:r>
    </w:p>
    <w:p>
      <w:pPr>
        <w:spacing w:line="240" w:lineRule="auto" w:before="0" w:after="0"/>
        <w:ind w:left="100" w:firstLine="719"/>
        <w:jc w:val="both"/>
      </w:pPr>
      <w:r>
        <w:rPr>
          <w:rFonts w:ascii="Times New Roman" w:hAnsi="Times New Roman"/>
          <w:sz w:val="24"/>
        </w:rPr>
        <w:t>Después de los casos unitarios se compararon por escenario los subtotales de cambio climático, eutrofización marina y eutrofización terrestre obtenidos con las mismas cantidades elementales. La diferencia se definió como el resultado SimaPro menos el resultado Python y, cuando el resultado Python era distinto de cero, la diferencia relativa se calculó respecto de este. La clasificación A identificó identidad o concordancia dentro de la precisión mostrada; B, diferencias explicables por precisión o redondeo; y C–H reservaron, respectivamente, diferencias de versión o configuración, identidad del flujo, compartimento, unidad o conversión, ausencia de correspondencia verificable y discrepancia no resuelta.</w:t>
      </w:r>
    </w:p>
    <w:p>
      <w:pPr>
        <w:spacing w:line="240" w:lineRule="auto" w:before="0" w:after="0"/>
        <w:ind w:left="100" w:firstLine="719"/>
        <w:jc w:val="both"/>
      </w:pPr>
      <w:r>
        <w:rPr>
          <w:rFonts w:ascii="Times New Roman" w:hAnsi="Times New Roman"/>
          <w:sz w:val="24"/>
        </w:rPr>
        <w:t>La comprobación excluyó la contribución eléctrica agregada del IMN, los procesos de fondo y la normalización respecto de la unidad funcional dentro de SimaPro. Tampoco reconstruyó las etapas A1–A4 y B1–B2 como procesos del programa. Por ello, el valor climático comparado corresponde exclusivamente al subtotal caracterizable con EF 3.1: incluye los flujos elementales del manejo y las emisiones fósiles del diésel, pero no el total climático publicado por el ACV, que incorpora además la electricidad IMN. Todo el ejercicio conserva carácter PROVISIONAL M1–M2.</w:t>
      </w:r>
    </w:p>
    <w:p>
      <w:pPr>
        <w:pStyle w:val="Heading2"/>
      </w:pPr>
      <w:r>
        <w:rPr>
          <w:rFonts w:ascii="Times New Roman" w:hAnsi="Times New Roman"/>
          <w:color w:val="000000"/>
        </w:rPr>
        <w:t>4.9 Evaluación determinística de sensibilidad</w:t>
      </w:r>
    </w:p>
    <w:p>
      <w:pPr>
        <w:spacing w:line="240" w:lineRule="auto" w:before="0" w:after="0"/>
        <w:ind w:left="100" w:firstLine="719"/>
        <w:jc w:val="both"/>
      </w:pPr>
      <w:r>
        <w:rPr>
          <w:rFonts w:ascii="Times New Roman" w:hAnsi="Times New Roman"/>
          <w:sz w:val="24"/>
        </w:rPr>
        <w:t>La interpretación incorporó una evaluación determinística de sensibilidad de un factor a la vez, conforme a los requisitos de interpretación y comprobación de sensibilidad de ISO 14044:2006 y a las recomendaciones de la sección 9.3.3 del manual del Sistema Internacional de Datos de Referencia sobre Ciclo de Vida (ILCD, por sus siglas en inglés) (European Commission, 2010). El procedimiento conservó la unidad funcional, los balances de masa, el balance secuencial de N total y nitrógeno amoniacal total, los factores de caracterización EF 3.1 y los consumos operativos.</w:t>
      </w:r>
    </w:p>
    <w:p>
      <w:pPr>
        <w:spacing w:line="240" w:lineRule="auto" w:before="0" w:after="0"/>
        <w:ind w:left="100" w:firstLine="719"/>
        <w:jc w:val="both"/>
      </w:pPr>
      <w:r>
        <w:rPr>
          <w:rFonts w:ascii="Times New Roman" w:hAnsi="Times New Roman"/>
          <w:sz w:val="24"/>
        </w:rPr>
        <w:t>El factor de conversión de metano del almacenamiento líquido se aplicó simultáneamente a A3: Almacenamiento de aguas verdes y B1: Almacenamiento de purines. Se conservó 38 % como referencia y se examinó el dominio matemático de 0–100 % para localizar, si existía, una inversión de la comparación climática. Este dominio cumple una función exploratoria: sus valores no son mediciones, estimaciones validadas para tres días ni resultados de un escalado temporal lineal del valor mensual del IPCC.</w:t>
      </w:r>
    </w:p>
    <w:p>
      <w:pPr>
        <w:spacing w:line="240" w:lineRule="auto" w:before="0" w:after="0"/>
        <w:ind w:left="100" w:firstLine="719"/>
        <w:jc w:val="both"/>
      </w:pPr>
      <w:r>
        <w:rPr>
          <w:rFonts w:ascii="Times New Roman" w:hAnsi="Times New Roman"/>
          <w:sz w:val="24"/>
        </w:rPr>
        <w:t>El potencial máximo de producción de metano se evaluó en 0,204, 0,240 y 0,276 m³ CH₄/kg SV. Los extremos corresponden a ±15 % respecto del valor central de 0,24 m³ CH₄/kg SV, de acuerdo con la incertidumbre indicada en la tabla 10.16A del Refinamiento 2019 del IPCC. Cada variación se aplicó conjuntamente a A1, A2, A3 y B1, que son las etapas que consumen B₀.</w:t>
      </w:r>
    </w:p>
    <w:p>
      <w:pPr>
        <w:spacing w:line="240" w:lineRule="auto" w:before="0" w:after="0"/>
        <w:ind w:left="100" w:firstLine="719"/>
        <w:jc w:val="both"/>
      </w:pPr>
      <w:r>
        <w:rPr>
          <w:rFonts w:ascii="Times New Roman" w:hAnsi="Times New Roman"/>
          <w:sz w:val="24"/>
        </w:rPr>
        <w:t>Para cada caso se recalcularon los impactos por etapa y escenario en las tres categorías vigentes, la diferencia B menos A, la variación respecto del caso de referencia y la estabilidad de la clasificación. El caso central se contrastó numéricamente con los resultados oficiales y la ejecución verificó que los insumos y resultados canónicos permanecieran sin cambios.</w:t>
      </w:r>
    </w:p>
    <w:p>
      <w:pPr>
        <w:pStyle w:val="Heading2"/>
      </w:pPr>
      <w:r>
        <w:rPr>
          <w:rFonts w:ascii="Times New Roman" w:hAnsi="Times New Roman"/>
          <w:color w:val="000000"/>
        </w:rPr>
        <w:t>4.10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keepLines/>
      </w:pPr>
      <w:r>
        <w:rPr>
          <w:rFonts w:ascii="Times New Roman" w:hAnsi="Times New Roman"/>
          <w:b/>
          <w:color w:val="000000"/>
        </w:rPr>
        <w:t>Tabla 6</w:t>
      </w:r>
    </w:p>
    <w:p>
      <w:pPr>
        <w:pStyle w:val="Descripciónacadémica"/>
        <w:keepNext/>
        <w:keepLines/>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7 430</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3"/>
      </w:pPr>
      <w:r>
        <w:rPr>
          <w:rFonts w:ascii="Times New Roman" w:hAnsi="Times New Roman"/>
          <w:color w:val="000000"/>
        </w:rPr>
        <w:t>5.1.1 Contraste provisional del nitrógeno experimental con el balance modelado</w:t>
      </w:r>
    </w:p>
    <w:p>
      <w:pPr>
        <w:spacing w:line="240" w:lineRule="auto" w:before="0" w:after="0"/>
        <w:ind w:left="100" w:firstLine="719"/>
        <w:jc w:val="both"/>
      </w:pPr>
      <w:r>
        <w:rPr>
          <w:rFonts w:ascii="Times New Roman" w:hAnsi="Times New Roman"/>
          <w:sz w:val="24"/>
        </w:rPr>
        <w:t>La Tabla 7 compara las referencias experimentales o derivadas con las estimaciones del balance secuencial. Una diferencia positiva indica que el modelo supera la referencia, una negativa indica que es inferior y cero señala que no hay diferencia visible con el redondeo adoptado.</w:t>
      </w:r>
    </w:p>
    <w:p>
      <w:pPr>
        <w:pStyle w:val="Rótuloacadémico"/>
        <w:keepNext/>
        <w:keepLines/>
      </w:pPr>
      <w:r>
        <w:rPr>
          <w:rFonts w:ascii="Times New Roman" w:hAnsi="Times New Roman"/>
          <w:b/>
          <w:color w:val="000000"/>
        </w:rPr>
        <w:t>Tabla 7</w:t>
      </w:r>
    </w:p>
    <w:p>
      <w:pPr>
        <w:pStyle w:val="Descripciónacadémica"/>
        <w:keepNext/>
        <w:keepLines/>
      </w:pPr>
      <w:r>
        <w:rPr>
          <w:rFonts w:ascii="Times New Roman" w:hAnsi="Times New Roman"/>
          <w:i/>
          <w:color w:val="000000"/>
        </w:rPr>
        <w:t>Contraste provisional del N experimental con el balance modelado.</w:t>
      </w:r>
    </w:p>
    <w:tbl>
      <w:tblPr>
        <w:tblW w:type="auto" w:w="0"/>
        <w:jc w:val="center"/>
        <w:tblLayout w:type="fixed"/>
        <w:tblLook w:firstColumn="1" w:firstRow="1" w:lastColumn="0" w:lastRow="0" w:noHBand="0" w:noVBand="1" w:val="04A0"/>
      </w:tblPr>
      <w:tblGrid>
        <w:gridCol w:w="1916"/>
        <w:gridCol w:w="1916"/>
        <w:gridCol w:w="1916"/>
        <w:gridCol w:w="1916"/>
        <w:gridCol w:w="1916"/>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Contraste</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Referencia experimental o derivada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Estimación modelada</w:t>
            </w:r>
          </w:p>
        </w:tc>
        <w:tc>
          <w:tcPr>
            <w:tcW w:type="dxa" w:w="223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absoluta (modelo − referencia)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relativa</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A1: N residual después del precomposteo</w:t>
            </w:r>
          </w:p>
        </w:tc>
        <w:tc>
          <w:tcPr>
            <w:tcW w:type="dxa" w:w="194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38,5 kg N/año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52,4 kg N/año</w:t>
            </w:r>
          </w:p>
        </w:tc>
        <w:tc>
          <w:tcPr>
            <w:tcW w:type="dxa" w:w="2232"/>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+13,9 kg N/año</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7"/>
              </w:rPr>
              <w:t>+36,2 %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A3→A4: Aguas verdes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0,0093 %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0,0147 %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+0,0054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+58,3 %</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B1→B2: Purines</w:t>
            </w:r>
          </w:p>
        </w:tc>
        <w:tc>
          <w:tcPr>
            <w:tcW w:type="dxa" w:w="194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0,0139 % N</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0,0412 % N</w:t>
            </w:r>
          </w:p>
        </w:tc>
        <w:tc>
          <w:tcPr>
            <w:tcW w:type="dxa" w:w="2232"/>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+0,0273 puntos porcentuales</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7"/>
              </w:rPr>
              <w:t>+195,7 %</w:t>
            </w:r>
          </w:p>
        </w:tc>
      </w:tr>
    </w:tbl>
    <w:p>
      <w:pPr>
        <w:pStyle w:val="Notadetabla"/>
      </w:pPr>
      <w:r>
        <w:rPr>
          <w:rFonts w:ascii="Times New Roman" w:hAnsi="Times New Roman"/>
          <w:b/>
        </w:rPr>
        <w:t xml:space="preserve">Nota. </w:t>
      </w:r>
      <w:r>
        <w:rPr>
          <w:rFonts w:ascii="Times New Roman" w:hAnsi="Times New Roman"/>
        </w:rPr>
        <w:t>La referencia de A1 es una masa de N derivada del análisis del precompostado y de la masa húmeda inferida de A2; no fue observada directamente. Para aguas verdes y purines, las referencias son concentraciones medidas en M2 y las concentraciones modeladas usan mezclas anuales teóricas, no descargas medidas. Las diferencias se calcularon con la precisión interna antes del redondeo visible; los cuatro decimales de las concentraciones permiten distinguir valores menores que 0,01 % N y no expresan mayor precisión analítica formal. Las diferencias no validan experimentalmente los factores IPCC–EMEP/EEA ni identifican una ruta específica de pérdida de N.</w:t>
      </w:r>
    </w:p>
    <w:p>
      <w:pPr>
        <w:spacing w:line="240" w:lineRule="auto" w:before="0" w:after="0"/>
        <w:ind w:left="100" w:firstLine="719"/>
        <w:jc w:val="both"/>
      </w:pPr>
      <w:r>
        <w:rPr>
          <w:rFonts w:ascii="Times New Roman" w:hAnsi="Times New Roman"/>
          <w:sz w:val="24"/>
        </w:rPr>
        <w:t>Después de A1, el modelo estimó 52,4 kg N/año, frente a una referencia derivada de 38,5 kg N/año. La diferencia modelo menos referencia fue +13,9 kg N/año, equivalente a +36,2 % de la referencia; con el redondeo adoptado, el modelo conservó más N residual que la referencia derivada.</w:t>
      </w:r>
    </w:p>
    <w:p>
      <w:pPr>
        <w:spacing w:line="240" w:lineRule="auto" w:before="0" w:after="0"/>
        <w:ind w:left="100" w:firstLine="719"/>
        <w:jc w:val="both"/>
      </w:pPr>
      <w:r>
        <w:rPr>
          <w:rFonts w:ascii="Times New Roman" w:hAnsi="Times New Roman"/>
          <w:sz w:val="24"/>
        </w:rPr>
        <w:t>En aguas verdes, la concentración modelada fue 0,0147 % N y la medida en M2 fue 0,0093 % N. La diferencia fue +0,0054 puntos porcentuales (+58,3 %); con el redondeo adoptado, la concentración modelada fue mayor que la medición M2. En purines, los valores respectivos fueron 0,0412 % N y 0,0139 % N, con una diferencia de +0,0273 puntos porcentuales (+195,7 %); la concentración modelada fue mayor que la medición M2.</w:t>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8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476,9 kg/año de CO₂ fósil, 0,06972 kg/año de CH₄ fósil y 0,004457 kg/año de N₂O en cada escenario. Estas masas se caracterizaron después con EF 3.1 y permanecen separadas de las emisiones del manejo resumidas en la Tabla 8.</w:t>
      </w:r>
    </w:p>
    <w:p>
      <w:pPr>
        <w:pStyle w:val="Rótuloacadémico"/>
        <w:keepNext/>
        <w:keepLines/>
      </w:pPr>
      <w:r>
        <w:rPr>
          <w:rFonts w:ascii="Times New Roman" w:hAnsi="Times New Roman"/>
          <w:b/>
          <w:color w:val="000000"/>
        </w:rPr>
        <w:t>Tabla 8</w:t>
      </w:r>
    </w:p>
    <w:p>
      <w:pPr>
        <w:pStyle w:val="Descripciónacadémica"/>
        <w:keepNext/>
        <w:keepLines/>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Notadetabla"/>
      </w:pPr>
      <w:r>
        <w:rPr>
          <w:rFonts w:ascii="Times New Roman" w:hAnsi="Times New Roman"/>
          <w:b/>
        </w:rPr>
        <w:t xml:space="preserve">Nota. </w:t>
      </w:r>
      <w:r>
        <w:rPr>
          <w:rFonts w:ascii="Times New Roman" w:hAnsi="Times New Roman"/>
        </w:rPr>
        <w:t>El valor 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9 presenta los impactos por etapa. En el Escenario A, A3: Almacenamiento de aguas verdes aportó 53,9 % del cambio climático; en el Escenario B, B1: Almacenamiento de purines aportó 82 %. Las Figuras 8 y 9 muestran la distribución por etapa de cambio climático y eutrofización terrestre.</w:t>
      </w:r>
    </w:p>
    <w:p>
      <w:pPr>
        <w:pStyle w:val="Rótuloacadémico"/>
        <w:keepNext/>
        <w:keepLines/>
      </w:pPr>
      <w:r>
        <w:rPr>
          <w:rFonts w:ascii="Times New Roman" w:hAnsi="Times New Roman"/>
          <w:b/>
          <w:color w:val="000000"/>
        </w:rPr>
        <w:t>Tabla 9</w:t>
      </w:r>
    </w:p>
    <w:p>
      <w:pPr>
        <w:pStyle w:val="Descripciónacadémica"/>
        <w:keepNext/>
        <w:keepLines/>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526</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3,516</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292,7</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604,9</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10 presenta la magnitud anual y la Tabla 11 separa el cambio climático del manejo, la electricidad y el diésel. La Tabla 12 muestra los indicadores por unidad funcional. La Tabla 13 y la Figura 10 presentan la comparación entre escenarios bajo la misma base funcional.</w:t>
      </w:r>
    </w:p>
    <w:p>
      <w:pPr>
        <w:pStyle w:val="Rótuloacadémico"/>
        <w:keepNext/>
        <w:keepLines/>
      </w:pPr>
      <w:r>
        <w:rPr>
          <w:rFonts w:ascii="Times New Roman" w:hAnsi="Times New Roman"/>
          <w:b/>
          <w:color w:val="000000"/>
        </w:rPr>
        <w:t>Tabla 10</w:t>
      </w:r>
    </w:p>
    <w:p>
      <w:pPr>
        <w:pStyle w:val="Descripciónacadémica"/>
        <w:keepNext/>
        <w:keepLines/>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617,1</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15,65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w:t>
            </w:r>
          </w:p>
        </w:tc>
      </w:tr>
    </w:tbl>
    <w:p>
      <w:pPr>
        <w:pStyle w:val="Rótuloacadémico"/>
        <w:keepNext/>
        <w:keepLines/>
      </w:pPr>
      <w:r>
        <w:rPr>
          <w:rFonts w:ascii="Times New Roman" w:hAnsi="Times New Roman"/>
          <w:b/>
          <w:color w:val="000000"/>
        </w:rPr>
        <w:t>Tabla 11</w:t>
      </w:r>
    </w:p>
    <w:p>
      <w:pPr>
        <w:pStyle w:val="Descripciónacadémica"/>
        <w:keepNext/>
        <w:keepLines/>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2 688</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2,209</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480,2</w:t>
            </w:r>
          </w:p>
        </w:tc>
        <w:tc>
          <w:tcPr>
            <w:tcW w:type="dxa" w:w="19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w:t>
            </w:r>
          </w:p>
        </w:tc>
      </w:tr>
    </w:tbl>
    <w:p>
      <w:pPr>
        <w:pStyle w:val="Rótuloacadémico"/>
        <w:keepNext/>
        <w:keepLines/>
      </w:pPr>
      <w:r>
        <w:rPr>
          <w:rFonts w:ascii="Times New Roman" w:hAnsi="Times New Roman"/>
          <w:b/>
          <w:color w:val="000000"/>
        </w:rPr>
        <w:t>Tabla 12</w:t>
      </w:r>
    </w:p>
    <w:p>
      <w:pPr>
        <w:pStyle w:val="Descripciónacadémica"/>
        <w:keepNext/>
        <w:keepLines/>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0,1206</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0,02348</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5,955 × 10⁻⁴</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keepLines/>
      </w:pPr>
      <w:r>
        <w:rPr>
          <w:rFonts w:ascii="Times New Roman" w:hAnsi="Times New Roman"/>
          <w:b/>
          <w:color w:val="000000"/>
        </w:rPr>
        <w:t>Tabla 13</w:t>
      </w:r>
    </w:p>
    <w:p>
      <w:pPr>
        <w:pStyle w:val="Descripciónacadémica"/>
        <w:keepNext/>
        <w:keepLines/>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3 170</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6 254</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3 084</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97,3</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14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keepLines/>
      </w:pPr>
      <w:r>
        <w:rPr>
          <w:rFonts w:ascii="Times New Roman" w:hAnsi="Times New Roman"/>
          <w:b/>
          <w:color w:val="000000"/>
        </w:rPr>
        <w:t>Tabla 14</w:t>
      </w:r>
    </w:p>
    <w:p>
      <w:pPr>
        <w:pStyle w:val="Descripciónacadémica"/>
        <w:keepNext/>
        <w:keepLines/>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3,016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−4,584</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0,3968</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w:t>
            </w:r>
          </w:p>
        </w:tc>
      </w:tr>
    </w:tbl>
    <w:p>
      <w:pPr>
        <w:pStyle w:val="Heading2"/>
      </w:pPr>
      <w:r>
        <w:rPr>
          <w:rFonts w:ascii="Times New Roman" w:hAnsi="Times New Roman"/>
          <w:color w:val="000000"/>
        </w:rPr>
        <w:t>5.5 Resultados de la verificación independiente Python–SimaPro</w:t>
      </w:r>
    </w:p>
    <w:p>
      <w:pPr>
        <w:pStyle w:val="Heading3"/>
      </w:pPr>
      <w:r>
        <w:rPr>
          <w:rFonts w:ascii="Times New Roman" w:hAnsi="Times New Roman"/>
          <w:color w:val="000000"/>
        </w:rPr>
        <w:t>5.5.1 Comprobación de factores y casos unitarios</w:t>
      </w:r>
    </w:p>
    <w:p>
      <w:pPr>
        <w:spacing w:line="240" w:lineRule="auto" w:before="0" w:after="0"/>
        <w:ind w:left="100" w:firstLine="719"/>
        <w:jc w:val="both"/>
      </w:pPr>
      <w:r>
        <w:rPr>
          <w:rFonts w:ascii="Times New Roman" w:hAnsi="Times New Roman"/>
          <w:sz w:val="24"/>
        </w:rPr>
        <w:t>Se inspeccionaron las nueve combinaciones activas de factores EF 3.1 y se ejecutaron cinco procesos unitarios. Estos cinco procesos produjeron siete resultados de categoría observables, porque NH₃ y NOx contribuyen tanto a eutrofización terrestre como marina. Seis resultados recibieron clasificación A por concordancia dentro de la precisión mostrada. El resultado terrestre de NH₃ fue visible como 13,5 mol N-eq frente al factor 13,47 mol N-eq/kg NH₃ y recibió clasificación B por redondeo de presentación. No quedó ninguna discrepancia científica sin resolver.</w:t>
      </w:r>
    </w:p>
    <w:p>
      <w:pPr>
        <w:spacing w:line="240" w:lineRule="auto" w:before="0" w:after="0"/>
        <w:ind w:left="100" w:firstLine="719"/>
        <w:jc w:val="both"/>
      </w:pPr>
      <w:r>
        <w:rPr>
          <w:rFonts w:ascii="Times New Roman" w:hAnsi="Times New Roman"/>
          <w:sz w:val="24"/>
        </w:rPr>
        <w:t>Los factores de CO₂ fósil y CH₄ fósil coincidieron en la inspección directa, aunque no contaron con procesos unitarios independientes. El Apéndice F, Trazabilidad de la verificación independiente Python–SimaPro, presenta las nueve combinaciones sin confundirlas con nueve procesos ejecutados.</w:t>
      </w:r>
    </w:p>
    <w:p>
      <w:pPr>
        <w:pStyle w:val="Heading3"/>
      </w:pPr>
      <w:r>
        <w:rPr>
          <w:rFonts w:ascii="Times New Roman" w:hAnsi="Times New Roman"/>
          <w:color w:val="000000"/>
        </w:rPr>
        <w:t>5.5.2 Comparación agregada PROVISIONAL M1–M2</w:t>
      </w:r>
    </w:p>
    <w:p>
      <w:pPr>
        <w:spacing w:line="240" w:lineRule="auto" w:before="0" w:after="0"/>
        <w:ind w:left="100" w:firstLine="719"/>
        <w:jc w:val="both"/>
      </w:pPr>
      <w:r>
        <w:rPr>
          <w:rFonts w:ascii="Times New Roman" w:hAnsi="Times New Roman"/>
          <w:sz w:val="24"/>
        </w:rPr>
        <w:t>La Tabla 15 compara los seis subtotales obtenidos con Python y observados en SimaPro. Las diferencias se calcularon como SimaPro menos Python; las seis comparaciones recibieron clasificación A por concordancia dentro de la precisión mostrada.</w:t>
      </w:r>
    </w:p>
    <w:p>
      <w:pPr>
        <w:spacing w:line="240" w:lineRule="auto" w:before="0" w:after="0"/>
        <w:ind w:left="100" w:firstLine="719"/>
        <w:jc w:val="both"/>
      </w:pPr>
      <w:r>
        <w:rPr>
          <w:rFonts w:ascii="Times New Roman" w:hAnsi="Times New Roman"/>
          <w:sz w:val="24"/>
        </w:rPr>
        <w:t>En cambio climático, la comparación no utiliza el total publicado del ACV. Utiliza el subtotal verificable mediante EF 3.1, compuesto por los flujos elementales del manejo y las emisiones fósiles del diésel. La contribución eléctrica agregada del IMN está excluida de ambos lados de esta comprobación; por tanto, estos valores climáticos no deben compararse ni sustituirse por el total climático que aparece en las tablas principales del ACV.</w:t>
      </w:r>
    </w:p>
    <w:p>
      <w:pPr>
        <w:pStyle w:val="Rótuloacadémico"/>
        <w:keepNext/>
        <w:keepLines/>
      </w:pPr>
      <w:r>
        <w:rPr>
          <w:rFonts w:ascii="Times New Roman" w:hAnsi="Times New Roman"/>
          <w:b/>
          <w:color w:val="000000"/>
        </w:rPr>
        <w:t>Tabla 15</w:t>
      </w:r>
    </w:p>
    <w:p>
      <w:pPr>
        <w:pStyle w:val="Descripciónacadémica"/>
        <w:keepNext/>
        <w:keepLines/>
      </w:pPr>
      <w:r>
        <w:rPr>
          <w:rFonts w:ascii="Times New Roman" w:hAnsi="Times New Roman"/>
          <w:i/>
          <w:color w:val="000000"/>
        </w:rPr>
        <w:t>Comparación agregada de la caracterización EF 3.1 entre Python y SimaPro.</w:t>
      </w:r>
    </w:p>
    <w:tbl>
      <w:tblPr>
        <w:tblW w:type="auto" w:w="0"/>
        <w:jc w:val="center"/>
        <w:tblLayout w:type="fixed"/>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Escenario</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Categoría y unidad</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Python</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SimaPro</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Diferencia (SimaPro − Python)</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7"/>
              </w:rPr>
              <w:t>Clasificación</w:t>
            </w:r>
          </w:p>
        </w:tc>
      </w:tr>
      <w:tr>
        <w:trPr>
          <w:cantSplit/>
        </w:trPr>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3 167,9045</w:t>
            </w:r>
          </w:p>
        </w:tc>
        <w:tc>
          <w:tcPr>
            <w:tcW w:type="dxa" w:w="151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3 167,9045</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−1,99 × 10⁻⁵</w:t>
            </w:r>
          </w:p>
        </w:tc>
        <w:tc>
          <w:tcPr>
            <w:tcW w:type="dxa" w:w="792"/>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15,648348</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+1,75 × 10⁻⁷</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617,05171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−2,51 × 10⁻⁶</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Cambio climático (kg CO₂-eq)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6 252,0981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6 252,0981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−3,68 × 10⁻⁵</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marina (kg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35,622315</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−2,16 × 10⁻⁷</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r>
        <w:trPr>
          <w:cantSplit/>
        </w:trPr>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B</w:t>
            </w:r>
          </w:p>
        </w:tc>
        <w:tc>
          <w:tcPr>
            <w:tcW w:type="dxa" w:w="237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Eutrofización terrestre (mol N-eq)</w:t>
            </w:r>
          </w:p>
        </w:tc>
        <w:tc>
          <w:tcPr>
            <w:tcW w:type="dxa" w:w="194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151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961,26931</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+1,8 × 10⁻⁶</w:t>
            </w:r>
          </w:p>
        </w:tc>
        <w:tc>
          <w:tcPr>
            <w:tcW w:type="dxa" w:w="792"/>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7"/>
              </w:rPr>
              <w:t>A</w:t>
            </w:r>
          </w:p>
        </w:tc>
      </w:tr>
    </w:tbl>
    <w:p>
      <w:pPr>
        <w:pStyle w:val="Notadetabla"/>
      </w:pPr>
      <w:r>
        <w:rPr>
          <w:rFonts w:ascii="Times New Roman" w:hAnsi="Times New Roman"/>
          <w:b/>
        </w:rPr>
        <w:t xml:space="preserve">Nota. </w:t>
      </w:r>
      <w:r>
        <w:rPr>
          <w:rFonts w:ascii="Times New Roman" w:hAnsi="Times New Roman"/>
        </w:rPr>
        <w:t>Resultados de la sesión del 7 de octubre de 2026. El subtotal de cambio climático excluye la electricidad agregada del IMN y no equivale al cambio climático total publicado por el ACV. Python y SimaPro se presentan redondeados a la precisión observada; por ello, ambos pueden verse idénticos aunque la diferencia calculada con precisión completa sea distinta de cero. Esa diferencia se conserva en la columna correspondiente y siempre representa SimaPro menos Python.</w:t>
      </w:r>
    </w:p>
    <w:p>
      <w:pPr>
        <w:pStyle w:val="Heading2"/>
      </w:pPr>
      <w:r>
        <w:rPr>
          <w:rFonts w:ascii="Times New Roman" w:hAnsi="Times New Roman"/>
          <w:color w:val="000000"/>
        </w:rPr>
        <w:t>5.6 Resultados de la sensibilidad determinística</w:t>
      </w:r>
    </w:p>
    <w:p>
      <w:pPr>
        <w:spacing w:line="240" w:lineRule="auto" w:before="0" w:after="0"/>
        <w:ind w:left="100" w:firstLine="719"/>
        <w:jc w:val="both"/>
      </w:pPr>
      <w:r>
        <w:rPr>
          <w:rFonts w:ascii="Times New Roman" w:hAnsi="Times New Roman"/>
          <w:sz w:val="24"/>
        </w:rPr>
        <w:t>La Tabla 16 presenta los resultados climáticos de los casos evaluados y la Figura 11 muestra la diferencia B menos A. El caso central reprodujo los impactos oficiales con precisión numérica interna.</w:t>
      </w:r>
    </w:p>
    <w:p>
      <w:pPr>
        <w:spacing w:line="240" w:lineRule="auto" w:before="0" w:after="0"/>
        <w:ind w:left="100" w:firstLine="719"/>
        <w:jc w:val="both"/>
      </w:pPr>
      <w:r>
        <w:rPr>
          <w:rFonts w:ascii="Times New Roman" w:hAnsi="Times New Roman"/>
          <w:sz w:val="24"/>
        </w:rPr>
        <w:t>El MCF crítico para la comparación climática fue 2,816 %. Por debajo de ese umbral matemático, el escenario B presentó menor cambio climático; por encima, el escenario A presentó menor cambio climático. El valor no constituye una medición del sistema ni una estimación empírica del MCF correspondiente a tres días.</w:t>
      </w:r>
    </w:p>
    <w:p>
      <w:pPr>
        <w:spacing w:line="240" w:lineRule="auto" w:before="0" w:after="0"/>
        <w:ind w:left="100" w:firstLine="719"/>
        <w:jc w:val="both"/>
      </w:pPr>
      <w:r>
        <w:rPr>
          <w:rFonts w:ascii="Times New Roman" w:hAnsi="Times New Roman"/>
          <w:sz w:val="24"/>
        </w:rPr>
        <w:t>La variación de B₀ en ±15 % modificó el cambio climático, pero no invirtió la clasificación de los escenarios. Como MCF y B₀ intervienen únicamente en la estimación de CH₄, los resultados de eutrofización terrestre y marina permanecieron invariantes en todos estos casos.</w:t>
      </w:r>
    </w:p>
    <w:p>
      <w:pPr>
        <w:pStyle w:val="Rótuloacadémico"/>
        <w:keepNext/>
        <w:keepLines/>
      </w:pPr>
      <w:r>
        <w:rPr>
          <w:rFonts w:ascii="Times New Roman" w:hAnsi="Times New Roman"/>
          <w:b/>
          <w:color w:val="000000"/>
        </w:rPr>
        <w:t>Tabla 16</w:t>
      </w:r>
    </w:p>
    <w:p>
      <w:pPr>
        <w:pStyle w:val="Descripciónacadémica"/>
        <w:keepNext/>
        <w:keepLines/>
      </w:pPr>
      <w:r>
        <w:rPr>
          <w:rFonts w:ascii="Times New Roman" w:hAnsi="Times New Roman"/>
          <w:i/>
          <w:color w:val="000000"/>
        </w:rPr>
        <w:t>Sensibilidad determinística del cambio climático a MCF y B₀.</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Parámetro y caso</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Valor evaluado</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Escenario A (kg CO₂-eq/año)</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Escenario B (kg CO₂-eq/año)</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Diferencia B − A (kg CO₂-eq/año)</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Escenario de menor impacto</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Clasificación estable respecto a referencia</w:t>
            </w:r>
          </w:p>
        </w:tc>
      </w:tr>
      <w:tr>
        <w:trPr>
          <w:cantSplit/>
        </w:trPr>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6"/>
              </w:rPr>
              <w:t>MCF del almacenamiento líquido: Exploración 0 %</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6"/>
              </w:rPr>
              <w:t>0 %</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6"/>
              </w:rPr>
              <w:t>1 506</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6"/>
              </w:rPr>
              <w:t>1 259</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6"/>
              </w:rPr>
              <w:t>−246,9</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6"/>
              </w:rPr>
              <w:t>B</w:t>
            </w:r>
          </w:p>
        </w:tc>
        <w:tc>
          <w:tcPr>
            <w:tcW w:type="dxa" w:w="1369"/>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16"/>
              </w:rPr>
              <w:t>No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MCF del almacenamiento líquido: Exploración 19 %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19 %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2 338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3 757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1 419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Sí</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MCF del almacenamiento líquido: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38 %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3 170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6 254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3 084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Sí</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MCF del almacenamiento líquido: Exploración 57 %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57 %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4 002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8 752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4 750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Sí</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MCF del almacenamiento líquido: Exploración 76 %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76 %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4 834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11 250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6 415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Sí</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MCF del almacenamiento líquido: Exploración 100 %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100 %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5 885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14 400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8 519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Sí</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Potencial máximo de producción de metano (B₀): −15 %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0,204 m³ CH₄/kg SV</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2 869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5 505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2 636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Sí</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Potencial máximo de producción de metano (B₀):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0,24 m³ CH₄/kg SV</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3 170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6 254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3 084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Sí</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Potencial máximo de producción de metano (B₀): +15 %</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0,276 m³ CH₄/kg SV</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3 471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7 004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3 532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16"/>
              </w:rPr>
              <w:t>Sí</w:t>
            </w:r>
          </w:p>
        </w:tc>
      </w:tr>
    </w:tbl>
    <w:p>
      <w:pPr>
        <w:pStyle w:val="Notadetabla"/>
      </w:pPr>
      <w:r>
        <w:rPr>
          <w:rFonts w:ascii="Times New Roman" w:hAnsi="Times New Roman"/>
          <w:b/>
        </w:rPr>
        <w:t xml:space="preserve">Nota. </w:t>
      </w:r>
      <w:r>
        <w:rPr>
          <w:rFonts w:ascii="Times New Roman" w:hAnsi="Times New Roman"/>
        </w:rPr>
        <w:t>Resultados PROVISIONAL M1–M2. Los casos extremos del dominio de MCF son exploratorios y no representan valores experimentales validados para la residencia operativa de tres días. B₀ se varió de forma coherente en todas las etapas que consumen el parámetro.</w:t>
      </w:r>
    </w:p>
    <w:p>
      <w:pPr>
        <w:pStyle w:val="Rótuloacadémico"/>
        <w:keepNext/>
        <w:keepLines/>
      </w:pPr>
      <w:r>
        <w:rPr>
          <w:rFonts w:ascii="Times New Roman" w:hAnsi="Times New Roman"/>
          <w:b/>
          <w:color w:val="000000"/>
        </w:rPr>
        <w:t>Figura 11</w:t>
      </w:r>
    </w:p>
    <w:p>
      <w:pPr>
        <w:pStyle w:val="Descripciónacadémica"/>
        <w:keepNext/>
        <w:keepLines/>
      </w:pPr>
      <w:r>
        <w:rPr>
          <w:rFonts w:ascii="Times New Roman" w:hAnsi="Times New Roman"/>
          <w:i/>
          <w:color w:val="000000"/>
        </w:rPr>
        <w:t>Influencia de MCF y B₀ sobre la diferencia climática entre escenarios.</w:t>
      </w:r>
    </w:p>
    <w:p>
      <w:pPr>
        <w:keepLines/>
        <w:ind w:left="0" w:firstLine="0"/>
        <w:jc w:val="center"/>
      </w:pPr>
      <w:r>
        <w:drawing>
          <wp:inline xmlns:a="http://schemas.openxmlformats.org/drawingml/2006/main" xmlns:pic="http://schemas.openxmlformats.org/drawingml/2006/picture">
            <wp:extent cx="5486400" cy="2305655"/>
            <wp:docPr id="11" name="Picture 11"/>
            <wp:cNvGraphicFramePr>
              <a:graphicFrameLocks noChangeAspect="1"/>
            </wp:cNvGraphicFramePr>
            <a:graphic>
              <a:graphicData uri="http://schemas.openxmlformats.org/drawingml/2006/picture">
                <pic:pic>
                  <pic:nvPicPr>
                    <pic:cNvPr id="0" name="figura_sensibilidad_climatica.png"/>
                    <pic:cNvPicPr/>
                  </pic:nvPicPr>
                  <pic:blipFill>
                    <a:blip r:embed="rId20"/>
                    <a:stretch>
                      <a:fillRect/>
                    </a:stretch>
                  </pic:blipFill>
                  <pic:spPr>
                    <a:xfrm>
                      <a:off x="0" y="0"/>
                      <a:ext cx="5486400" cy="2305655"/>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97,3 %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 kg CO₂-eq/año por electricidad y 480,2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3"/>
      </w:pPr>
      <w:r>
        <w:rPr>
          <w:rFonts w:ascii="Times New Roman" w:hAnsi="Times New Roman"/>
          <w:color w:val="000000"/>
        </w:rPr>
        <w:t>6.1.1 Interpretación del contraste experimental del nitrógeno</w:t>
      </w:r>
    </w:p>
    <w:p>
      <w:pPr>
        <w:spacing w:line="240" w:lineRule="auto" w:before="0" w:after="0"/>
        <w:ind w:left="100" w:firstLine="719"/>
        <w:jc w:val="both"/>
      </w:pPr>
      <w:r>
        <w:rPr>
          <w:rFonts w:ascii="Times New Roman" w:hAnsi="Times New Roman"/>
          <w:sz w:val="24"/>
        </w:rPr>
        <w:t>En A1, el N residual modelado superó a la referencia derivada del precompostado en 13,9 kg N/año (36,2 %). El resultado indica concordancia limitada entre ambas construcciones, pero no demuestra que el modelo subestime o sobreestime una ruta específica. El N del estiércol fresco se determinó mediante Kjeldahl y el del precompostado mediante Dumas sobre material acondicionado; la conversión a base húmeda combinó este último resultado con materia seca gravimétrica independiente. Además, la masa de A2 se infirió mediante conservación supuesta de cenizas y las muestras no correspondieron a un mismo lote pesado antes y después del precomposteo.</w:t>
      </w:r>
    </w:p>
    <w:p>
      <w:pPr>
        <w:spacing w:line="240" w:lineRule="auto" w:before="0" w:after="0"/>
        <w:ind w:left="100" w:firstLine="719"/>
        <w:jc w:val="both"/>
      </w:pPr>
      <w:r>
        <w:rPr>
          <w:rFonts w:ascii="Times New Roman" w:hAnsi="Times New Roman"/>
          <w:sz w:val="24"/>
        </w:rPr>
        <w:t>En aguas verdes, la concentración modelada fue 58,3 % mayor que la medición M2. Esta discrepancia puede relacionarse hipotéticamente con diferencias entre la dilución anual teórica y la condición puntual muestreada, así como con la acumulación, la residencia, la mezcla, la sedimentación o entradas no representadas con igual detalle. La muestra de la tanqueta no estuvo acompañada por una descarga real medida que permitiera convertir la concentración en un balance anual observado.</w:t>
      </w:r>
    </w:p>
    <w:p>
      <w:pPr>
        <w:spacing w:line="240" w:lineRule="auto" w:before="0" w:after="0"/>
        <w:ind w:left="100" w:firstLine="719"/>
        <w:jc w:val="both"/>
      </w:pPr>
      <w:r>
        <w:rPr>
          <w:rFonts w:ascii="Times New Roman" w:hAnsi="Times New Roman"/>
          <w:sz w:val="24"/>
        </w:rPr>
        <w:t>En purines se obtuvo la discrepancia relativa de mayor magnitud entre los tres contrastes: +195,7 %. Con el redondeo adoptado, la concentración modelada fue mayor que la medición M2. Su magnitud no demuestra una pérdida gaseosa mayor ni una pérdida real total de N, porque la concentración modelada combina N propagado, una masa teórica de estiércol depositado y agua anualizada, mientras la referencia procede de muestras M2 de una operación temporal. La dilución efectiva, las condiciones de acumulación y la representatividad temporal pueden contribuir a la discrepancia, pero no fueron identificadas causalmente por el diseño experimental.</w:t>
      </w:r>
    </w:p>
    <w:p>
      <w:pPr>
        <w:spacing w:line="240" w:lineRule="auto" w:before="0" w:after="0"/>
        <w:ind w:left="100" w:firstLine="719"/>
        <w:jc w:val="both"/>
      </w:pPr>
      <w:r>
        <w:rPr>
          <w:rFonts w:ascii="Times New Roman" w:hAnsi="Times New Roman"/>
          <w:sz w:val="24"/>
        </w:rPr>
        <w:t>El cierre del balance demuestra coherencia matemática de las ecuaciones implementadas. El contraste anterior constituye una evaluación parcial de plausibilidad frente a determinaciones experimentales. Una validación experimental completa requeriría masas de entrada y salida emparejadas en A1 y caudales o masas reales de descarga asociados con las muestras líquidas, además de evidencia que permitiera diferenciar las rutas de N.</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evaluación determinística confirmó que la comparación climática es sensible al MCF común asignado a A3 y B1. El umbral de 2,816 % demuestra una inversión dentro del dominio matemático de 0–100 %; no demuestra que el MCF real de la operación se encuentre cerca de ese valor ni permite asignarle una probabilidad. La referencia de 38 % queda suficientemente por encima del umbral dentro del modelo provisional, pero su procedencia mensual y la ausencia de una medición específica para tres días impiden afirmar robustez empírica.</w:t>
      </w:r>
    </w:p>
    <w:p>
      <w:pPr>
        <w:spacing w:line="240" w:lineRule="auto" w:before="0" w:after="0"/>
        <w:ind w:left="100" w:firstLine="719"/>
        <w:jc w:val="both"/>
      </w:pPr>
      <w:r>
        <w:rPr>
          <w:rFonts w:ascii="Times New Roman" w:hAnsi="Times New Roman"/>
          <w:sz w:val="24"/>
        </w:rPr>
        <w:t>La clasificación climática permaneció estable ante la incertidumbre de ±15 % de B₀ indicada por el IPCC. Este resultado describe sensibilidad paramétrica local bajo las demás entradas fijas; no es un intervalo de confianza, no incorpora variabilidad temporal y no constituye un análisis probabilístico de incertidumbre.</w:t>
      </w:r>
    </w:p>
    <w:p>
      <w:pPr>
        <w:spacing w:line="240" w:lineRule="auto" w:before="0" w:after="0"/>
        <w:ind w:left="100" w:firstLine="719"/>
        <w:jc w:val="both"/>
      </w:pPr>
      <w:r>
        <w:rPr>
          <w:rFonts w:ascii="Times New Roman" w:hAnsi="Times New Roman"/>
          <w:sz w:val="24"/>
        </w:rPr>
        <w:t>Como comprobación complementaria de aseguramiento de la calidad, el factor de N₂-N de A2 se varió entre 0 y 0,30 respecto al TAN. Frente al caso central de 0,30, el cambio máximo del N total remanente equivalió a 11,5 % del N total de entrada. La Tabla 17 documenta esa comprobación del balance, que no sustituye la sensibilidad de impactos realizada para MCF y B₀.</w:t>
      </w:r>
    </w:p>
    <w:p>
      <w:pPr>
        <w:spacing w:line="240" w:lineRule="auto" w:before="0" w:after="0"/>
        <w:ind w:left="100" w:firstLine="719"/>
        <w:jc w:val="both"/>
      </w:pPr>
      <w:r>
        <w:rPr>
          <w:rFonts w:ascii="Times New Roman" w:hAnsi="Times New Roman"/>
          <w:sz w:val="24"/>
        </w:rPr>
        <w:t>Los resultados continúan siendo PROVISIONAL M1–M2. La incorporación de M3 puede modificar las características de sólidos volátiles y, por tanto, las magnitudes y el umbral calculado; la evaluación deberá repetirse sobre la corrida definitiva sin reinterpretar estos casos como incertidumbre empírica.</w:t>
      </w:r>
    </w:p>
    <w:p>
      <w:pPr>
        <w:pStyle w:val="Rótuloacadémico"/>
        <w:keepNext/>
        <w:keepLines/>
      </w:pPr>
      <w:r>
        <w:rPr>
          <w:rFonts w:ascii="Times New Roman" w:hAnsi="Times New Roman"/>
          <w:b/>
          <w:color w:val="000000"/>
        </w:rPr>
        <w:t>Tabla 17</w:t>
      </w:r>
    </w:p>
    <w:p>
      <w:pPr>
        <w:pStyle w:val="Descripciónacadémica"/>
        <w:keepNext/>
        <w:keepLines/>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51,84</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11,5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Heading2"/>
      </w:pPr>
      <w:r>
        <w:rPr>
          <w:rFonts w:ascii="Times New Roman" w:hAnsi="Times New Roman"/>
          <w:color w:val="000000"/>
        </w:rPr>
        <w:t>6.4 Alcance de la verificación Python–SimaPro</w:t>
      </w:r>
    </w:p>
    <w:p>
      <w:pPr>
        <w:spacing w:line="240" w:lineRule="auto" w:before="0" w:after="0"/>
        <w:ind w:left="100" w:firstLine="719"/>
        <w:jc w:val="both"/>
      </w:pPr>
      <w:r>
        <w:rPr>
          <w:rFonts w:ascii="Times New Roman" w:hAnsi="Times New Roman"/>
          <w:sz w:val="24"/>
        </w:rPr>
        <w:t>La concordancia observada permite afirmar únicamente que, para los flujos, compartimentos y categorías comprobados, la caracterización EF 3.1 implementada en Python fue consistente con la caracterización observada de forma independiente en SimaPro dentro de la precisión disponible. La diferencia del caso terrestre de NH₃, visible como 13,5 frente a 13,47, se explica por la presentación redondeada del resultado unitario: el factor 13,47 fue observado directamente y no se identificó una diferencia metodológica.</w:t>
      </w:r>
    </w:p>
    <w:p>
      <w:pPr>
        <w:spacing w:line="240" w:lineRule="auto" w:before="0" w:after="0"/>
        <w:ind w:left="100" w:firstLine="719"/>
        <w:jc w:val="both"/>
      </w:pPr>
      <w:r>
        <w:rPr>
          <w:rFonts w:ascii="Times New Roman" w:hAnsi="Times New Roman"/>
          <w:sz w:val="24"/>
        </w:rPr>
        <w:t>Esta comprobación no valida el inventario, la exactitud de los factores IPCC o EMEP/EEA, la representatividad experimental, la contribución eléctrica agregada del IMN, los procesos de fondo ni la superioridad general de un escenario. Tampoco comprende M3. Su alcance es exclusivamente la consistencia de la caracterización EF 3.1 de los flujos incluidos en la corrida PROVISIONAL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66,7 % ingresó a la ruta sólida mediante A1: Precomposteo; posteriormente, la masa resultante continuó hacia A2: Lombricompostaje, mientras que 33,3 %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53,9 % del total del Escenario A y B1: Almacenamiento de purines aportó 82 % del total del Escenario B. En eutrofización terrestre, A1: Precomposteo aportó 47,4 % del total del Escenario A y B2: Aplicación de purines en campo de pastoreo aportó 62,9 % del total del Escenario B. En eutrofización marina, A4: Aplicación de aguas verdes en campos de pastoreo aportó 70,6 % del total del Escenario A y B2: Aplicación de purines en campo de pastoreo aportó 93,1 %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0,1206 kg CO₂-eq/kg de estiércol fresco manejado en el Escenario A. La diferencia B menos A fue de 97,3 %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5,955 × 10⁻⁴ kg N-eq/kg en el Escenario A. La diferencia B menos A fue de 127,6 % respecto a A. Para eutrofización terrestre, el Escenario B también presentó el mayor impacto por unidad funcional: 0,03658 mol N-eq/kg de estiércol fresco manejado, frente a 0,02348 mol N-eq/kg en el Escenario A; la diferencia B menos A fue de 55,8 %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b/>
          <w:sz w:val="24"/>
        </w:rPr>
        <w:t xml:space="preserve">Conclusión provisional 6. </w:t>
      </w:r>
      <w:r>
        <w:rPr>
          <w:rFonts w:ascii="Times New Roman" w:hAnsi="Times New Roman"/>
          <w:sz w:val="24"/>
        </w:rPr>
        <w:t>El contraste provisional del nitrógeno mostró diferencias modelo menos referencia de +36,2 % en el N residual de A1, +58,3 % en aguas verdes y +195,7 % en purines. Con el redondeo adoptado, el modelo superó la referencia en A1, superó la referencia en aguas verdes y superó la referencia en purines. Estas discrepancias delimitan la concordancia observada y orientan la revisión posterior a M3, pero no permiten validar experimentalmente los factores IPCC–EMEP/EEA ni atribuir la diferencia a mecanismos específicos.</w:t>
      </w:r>
    </w:p>
    <w:p>
      <w:pPr>
        <w:spacing w:line="240" w:lineRule="auto" w:before="0" w:after="0"/>
        <w:ind w:left="100" w:firstLine="719"/>
        <w:jc w:val="both"/>
      </w:pPr>
      <w:r>
        <w:rPr>
          <w:rFonts w:ascii="Times New Roman" w:hAnsi="Times New Roman"/>
          <w:sz w:val="24"/>
        </w:rPr>
        <w:t>Como comprobación complementaria, la caracterización EF 3.1 implementada en Python presentó concordancia con la verificación independiente mediante SimaPro para los flujos examinados y dentro de la precisión disponible. Este resultado no sustituye las conclusiones ambientales del ACV ni amplía el alcance provisional M1–M2.</w:t>
      </w:r>
    </w:p>
    <w:p>
      <w:pPr>
        <w:spacing w:line="240" w:lineRule="auto" w:before="0" w:after="0"/>
        <w:ind w:left="100" w:firstLine="719"/>
        <w:jc w:val="both"/>
      </w:pPr>
      <w:r>
        <w:rPr>
          <w:rFonts w:ascii="Times New Roman" w:hAnsi="Times New Roman"/>
          <w:sz w:val="24"/>
        </w:rPr>
        <w:t>La sensibilidad determinística PROVISIONAL M1–M2 identificó una inversión de la comparación climática a un MCF común de 2,816 % para A3 y B1, mientras la variación de ±15 % de B₀ no alteró la clasificación. El umbral es matemático y no constituye evidencia experimental sobre el MCF de la residencia operativa de tres días.</w:t>
      </w:r>
    </w:p>
    <w:p>
      <w:pPr>
        <w:spacing w:line="240" w:lineRule="auto" w:before="0" w:after="0"/>
        <w:ind w:left="100" w:firstLine="719"/>
        <w:jc w:val="both"/>
      </w:pPr>
      <w:r>
        <w:rPr>
          <w:rFonts w:ascii="Times New Roman" w:hAnsi="Times New Roman"/>
          <w:sz w:val="24"/>
        </w:rPr>
        <w:t>El Apéndice A, Correspondencia entre objetivos, resultados y conclusiones provisionales, sintetiza la relación entre los objetivos del estudio y la evidencia presentada sin duplicar los resultados numéricos de las tablas principales.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Las recomendaciones se organizan en tres ámbitos: las comprobaciones pendientes para concluir el estudio actual, las líneas de investigación que permitirían ampliar la evidencia disponible y las prácticas de manejo que conviene evaluar experimentalmente en la lechería.</w:t>
      </w:r>
    </w:p>
    <w:p>
      <w:pPr>
        <w:pStyle w:val="Heading2"/>
      </w:pPr>
      <w:r>
        <w:rPr>
          <w:rFonts w:ascii="Times New Roman" w:hAnsi="Times New Roman"/>
          <w:color w:val="000000"/>
        </w:rPr>
        <w:t>8.1 Comprobaciones necesarias para concluir el estudio actual</w:t>
      </w:r>
    </w:p>
    <w:p>
      <w:pPr>
        <w:spacing w:line="240" w:lineRule="auto" w:before="0" w:after="0"/>
        <w:ind w:left="100" w:firstLine="719"/>
        <w:jc w:val="both"/>
      </w:pPr>
      <w:r>
        <w:rPr>
          <w:rFonts w:ascii="Times New Roman" w:hAnsi="Times New Roman"/>
          <w:sz w:val="24"/>
        </w:rPr>
        <w:t>Completar la caracterización analítica de M3 e integrar únicamente las determinaciones comparables con M1 y M2 constituye una actividad pendiente del TFG, no una línea de investigación posterior. Con la integración completa se deben volver a estimar los parámetros experimentales, las emisiones y los indicadores de impacto, y comprobar si se mantienen las etapas dominantes y la comparación entre escenarios.</w:t>
      </w:r>
    </w:p>
    <w:p>
      <w:pPr>
        <w:spacing w:line="240" w:lineRule="auto" w:before="0" w:after="0"/>
        <w:ind w:left="100" w:firstLine="719"/>
        <w:jc w:val="both"/>
      </w:pPr>
      <w:r>
        <w:rPr>
          <w:rFonts w:ascii="Times New Roman" w:hAnsi="Times New Roman"/>
          <w:sz w:val="24"/>
        </w:rPr>
        <w:t>La primera evaluación determinística de MCF y B₀ debe repetirse después de integrar M3, porque los parámetros experimentales definitivos pueden modificar las magnitudes y el umbral climático. Antes de formular las conclusiones definitivas también se debe decidir, con rangos plausibles y documentados, si se amplía la sensibilidad a la relación inicial entre nitrógeno amoniacal total y N total, los factores de A2 y los factores de las aplicaciones A4 y B2. Un análisis probabilístico más amplio corresponde a una investigación posterior.</w:t>
      </w:r>
    </w:p>
    <w:p>
      <w:pPr>
        <w:pStyle w:val="Heading2"/>
      </w:pPr>
      <w:r>
        <w:rPr>
          <w:rFonts w:ascii="Times New Roman" w:hAnsi="Times New Roman"/>
          <w:color w:val="000000"/>
        </w:rPr>
        <w:t>8.2 Recomendaciones para futuras investigaciones</w:t>
      </w:r>
    </w:p>
    <w:p>
      <w:pPr>
        <w:spacing w:line="240" w:lineRule="auto" w:before="0" w:after="0"/>
        <w:ind w:left="100" w:firstLine="719"/>
        <w:jc w:val="both"/>
      </w:pPr>
      <w:r>
        <w:rPr>
          <w:rFonts w:ascii="Times New Roman" w:hAnsi="Times New Roman"/>
          <w:sz w:val="24"/>
        </w:rPr>
        <w:t>Como primera prioridad experimental, se recomienda cuantificar directamente las emisiones de CH₄ durante ciclos completos de acumulación y descarga en A3: Almacenamiento de aguas verdes y B1: Almacenamiento de purines, bajo distintas condiciones climáticas. Las variables principales son el flujo de CH₄, el volumen almacenado, el tiempo de residencia y el contenido de sólidos volátiles; la temperatura y las condiciones de mezcla constituyen variables explicativas complementarias. Estas mediciones permitirían contrastar la estimación basada en un MCF de 38 %, no determinado para la residencia operativa aproximada de tres días. La prioridad se fundamenta en que A3 aportó 53,9 % del cambio climático del Escenario A y B1 aportó 82 % del correspondiente al Escenario B.</w:t>
      </w:r>
    </w:p>
    <w:p>
      <w:pPr>
        <w:spacing w:line="240" w:lineRule="auto" w:before="0" w:after="0"/>
        <w:ind w:left="100" w:firstLine="719"/>
        <w:jc w:val="both"/>
      </w:pPr>
      <w:r>
        <w:rPr>
          <w:rFonts w:ascii="Times New Roman" w:hAnsi="Times New Roman"/>
          <w:sz w:val="24"/>
        </w:rPr>
        <w:t>Como segunda prioridad, se recomienda medir las pérdidas de N asociadas con las etapas que dominaron la eutrofización. Las variables principales son la volatilización de NH₃ en A1: Precomposteo y B2: Aplicación de purines en campo de pastoreo, y la pérdida de NO₃⁻ por lixiviación o escorrentía en A4: Aplicación de aguas verdes en campos de pastoreo y B2. Las emisiones de N₂O y NOx, el N residual del suelo y la absorción por el pasto aportarían información complementaria para interpretar los mecanismos y detectar posibles transferencias entre categorías de impacto.</w:t>
      </w:r>
    </w:p>
    <w:p>
      <w:pPr>
        <w:spacing w:line="240" w:lineRule="auto" w:before="0" w:after="0"/>
        <w:ind w:left="100" w:firstLine="719"/>
        <w:jc w:val="both"/>
      </w:pPr>
      <w:r>
        <w:rPr>
          <w:rFonts w:ascii="Times New Roman" w:hAnsi="Times New Roman"/>
          <w:sz w:val="24"/>
        </w:rPr>
        <w:t>Se recomienda además construir balances experimentales emparejados de masa y N. En A1 y A2: Lombricompostaje deben pesarse y caracterizarse los mismos lotes a la entrada y a la salida, incluido el lombricompost terminado; en A3 y B1 las muestras deben vincularse con volúmenes o masas reales de descarga. La masa total, el N total y el nitrógeno amoniacal total son las variables principales; la especiación del N y la caracterización del producto final son complementarias. Este diseño permitiría investigar las diferencias modelo menos referencia de +36,2 % en A1, +58,3 % en aguas verdes y +195,7 % en purines sin asignarlas de antemano a mecanismos específicos.</w:t>
      </w:r>
    </w:p>
    <w:p>
      <w:pPr>
        <w:spacing w:line="240" w:lineRule="auto" w:before="0" w:after="0"/>
        <w:ind w:left="100" w:firstLine="719"/>
        <w:jc w:val="both"/>
      </w:pPr>
      <w:r>
        <w:rPr>
          <w:rFonts w:ascii="Times New Roman" w:hAnsi="Times New Roman"/>
          <w:sz w:val="24"/>
        </w:rPr>
        <w:t>Con datos directos de emisiones y balances emparejados, investigaciones posteriores podrían desarrollar un análisis probabilístico de incertidumbre que integre variabilidad temporal, incertidumbre paramétrica y correlaciones entre variables. Su finalidad sería estimar la probabilidad de que cambien las etapas dominantes o el orden relativo de los escenarios y evaluar la transferibilidad de los resultados a otras condiciones de manejo, sin sustituir la repetición determinística requerida sobre la corrida definitiva.</w:t>
      </w:r>
    </w:p>
    <w:p>
      <w:pPr>
        <w:pStyle w:val="Heading2"/>
      </w:pPr>
      <w:r>
        <w:rPr>
          <w:rFonts w:ascii="Times New Roman" w:hAnsi="Times New Roman"/>
          <w:color w:val="000000"/>
        </w:rPr>
        <w:t>8.3 Evaluación de posibles mejoras de manejo</w:t>
      </w:r>
    </w:p>
    <w:p>
      <w:pPr>
        <w:spacing w:line="240" w:lineRule="auto" w:before="0" w:after="0"/>
        <w:ind w:left="100" w:firstLine="719"/>
        <w:jc w:val="both"/>
      </w:pPr>
      <w:r>
        <w:rPr>
          <w:rFonts w:ascii="Times New Roman" w:hAnsi="Times New Roman"/>
          <w:sz w:val="24"/>
        </w:rPr>
        <w:t>Los resultados provisionales justifican continuar la comparación de la separación de las fracciones sólidas y líquidas del Escenario A frente al manejo conjunto del Escenario B, pero no sustentan todavía la selección definitiva de uno de ellos. Una decisión de manejo debe considerar los resultados finales del ACV junto con la factibilidad operativa y el desempeño agronómico observados en la lechería.</w:t>
      </w:r>
    </w:p>
    <w:p>
      <w:pPr>
        <w:spacing w:line="240" w:lineRule="auto" w:before="0" w:after="0"/>
        <w:ind w:left="100" w:firstLine="719"/>
        <w:jc w:val="both"/>
      </w:pPr>
      <w:r>
        <w:rPr>
          <w:rFonts w:ascii="Times New Roman" w:hAnsi="Times New Roman"/>
          <w:sz w:val="24"/>
        </w:rPr>
        <w:t>En el almacenamiento líquido conviene ensayar alternativas que modifiquen el tiempo efectivo bajo condiciones anaerobias o que permitan contener y aprovechar el CH₄, de acuerdo con su viabilidad técnica y de seguridad. Los ensayos deben comparar cada alternativa con la operación actual mediante las variables principales definidas para CH₄ y mediante las pérdidas de N; el consumo energético, la frecuencia de vaciado y las exigencias operativas completan la evaluación de posibles transferencias de impacto.</w:t>
      </w:r>
    </w:p>
    <w:p>
      <w:pPr>
        <w:spacing w:line="240" w:lineRule="auto" w:before="0" w:after="0"/>
        <w:ind w:left="100" w:firstLine="719"/>
        <w:jc w:val="both"/>
      </w:pPr>
      <w:r>
        <w:rPr>
          <w:rFonts w:ascii="Times New Roman" w:hAnsi="Times New Roman"/>
          <w:sz w:val="24"/>
        </w:rPr>
        <w:t>En la aplicación al campo conviene evaluar un plan basado en la concentración medida de N, la demanda del suelo y del pasto, la calibración del caudal y las condiciones meteorológicas y de humedad del suelo. Los ensayos en parcelas deben comparar la práctica actual con aplicaciones que eviten suelos saturados y periodos con alta probabilidad de lluvia intensa, utilizando como respuestas principales NH₃ y NO₃⁻ y, como respuestas complementarias, el N residual del suelo y la producción o absorción de N del pasto. Esta línea se sustenta en que A4 aportó 70,6 % de la eutrofización marina del Escenario A, mientras B2 aportó 93,1 % de la eutrofización marina y 62,9 % de la eutrofización terrestre del Escenario B.</w:t>
      </w:r>
    </w:p>
    <w:p>
      <w:pPr>
        <w:spacing w:line="240" w:lineRule="auto" w:before="0" w:after="0"/>
        <w:ind w:left="100" w:firstLine="719"/>
        <w:jc w:val="both"/>
      </w:pPr>
      <w:r>
        <w:rPr>
          <w:rFonts w:ascii="Times New Roman" w:hAnsi="Times New Roman"/>
          <w:sz w:val="24"/>
        </w:rPr>
        <w:t>En A1 conviene evaluar de forma controlada el tiempo de precomposteo, la humedad, la aireación y el volteo. La comparación debe priorizar las pérdidas de NH₃ y el balance de N, y complementar estas respuestas con N₂O, aptitud del sustrato para las lombrices y calidad del producto final. A1 concentró 47,4 % de la eutrofización terrestre del Escenario A; por ello, la selección de una condición operativa requiere evidencia experimental local.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Factores de emisión de gases de efecto invernadero (16.ª ed.; los encabezados de las pp. 2–10 identifican 15.ª ed.,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International Organization for Standardization. (2006). ISO 14044: Environmental management—Life cycle assessment—Requirements and guidelines. ISO.</w:t>
      </w:r>
    </w:p>
    <w:p>
      <w:pPr>
        <w:spacing w:line="240" w:lineRule="auto" w:before="0" w:after="0"/>
        <w:ind w:left="100" w:firstLine="719"/>
        <w:jc w:val="both"/>
      </w:pPr>
      <w:r>
        <w:rPr>
          <w:rFonts w:ascii="Times New Roman" w:hAnsi="Times New Roman"/>
          <w:sz w:val="24"/>
        </w:rPr>
        <w:t>European Commission, Joint Research Centre, Institute for Environment and Sustainability. (2010). International Reference Life Cycle Data System (ILCD) Handbook—General guide for Life Cycle Assessment—Detailed guidance (1st ed., EUR 24708 EN). Publications Office of the European Union.</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26(5), 485–495. https://doi.org/10.1016/j.biombioe.2003.08.008</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46(3–4), 225–247. https://doi.org/10.18174/njas.v46i3.481</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75, 499–502.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La Tabla 18 muestra cómo la metodología, los resultados y las conclusiones provisionales responden a los objetivos invariantes del estudio.</w:t>
      </w:r>
    </w:p>
    <w:p>
      <w:pPr>
        <w:pStyle w:val="Rótuloacadémico"/>
        <w:keepNext/>
        <w:keepLines/>
      </w:pPr>
      <w:r>
        <w:rPr>
          <w:rFonts w:ascii="Times New Roman" w:hAnsi="Times New Roman"/>
          <w:b/>
          <w:color w:val="000000"/>
        </w:rPr>
        <w:t>Tabla 18</w:t>
      </w:r>
    </w:p>
    <w:p>
      <w:pPr>
        <w:pStyle w:val="Descripciónacadémica"/>
        <w:keepNext/>
        <w:keepLines/>
      </w:pPr>
      <w:r>
        <w:rPr>
          <w:rFonts w:ascii="Times New Roman" w:hAnsi="Times New Roman"/>
          <w:i/>
          <w:color w:val="000000"/>
        </w:rPr>
        <w:t>Correspondencia entre objetivos, resultados y conclusiones provisionales.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emisiones y contraste provisional del nitrógeno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1 y 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19 conserva la trazabilidad detallada por familia sin convertir los cálculos derivados en una nueva categoría de fuente.</w:t>
      </w:r>
    </w:p>
    <w:p>
      <w:pPr>
        <w:pStyle w:val="Rótuloacadémico"/>
        <w:keepNext/>
        <w:keepLines/>
      </w:pPr>
      <w:r>
        <w:rPr>
          <w:rFonts w:ascii="Times New Roman" w:hAnsi="Times New Roman"/>
          <w:b/>
          <w:color w:val="000000"/>
        </w:rPr>
        <w:t>Tabla 19</w:t>
      </w:r>
    </w:p>
    <w:p>
      <w:pPr>
        <w:pStyle w:val="Descripciónacadémica"/>
        <w:keepNext/>
        <w:keepLines/>
      </w:pPr>
      <w:r>
        <w:rPr>
          <w:rFonts w:ascii="Times New Roman" w:hAnsi="Times New Roman"/>
          <w:i/>
          <w:color w:val="000000"/>
        </w:rPr>
        <w:t>Matriz detallada de procedencia y tratamiento de los datos del inventario.</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80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familia de variables</w:t>
            </w:r>
          </w:p>
        </w:tc>
        <w:tc>
          <w:tcPr>
            <w:tcW w:type="dxa" w:w="100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Etapa(s) donde se usa</w:t>
            </w:r>
          </w:p>
        </w:tc>
        <w:tc>
          <w:tcPr>
            <w:tcW w:type="dxa" w:w="136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Valor o tipo de información</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académica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Subtipo de procedencia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Tratamiento dentro del TFG</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concreta</w:t>
            </w:r>
          </w:p>
        </w:tc>
        <w:tc>
          <w:tcPr>
            <w:tcW w:type="dxa" w:w="252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Uso metodológico</w:t>
            </w:r>
          </w:p>
        </w:tc>
      </w:tr>
      <w:tr>
        <w:trPr>
          <w:cantSplit/>
        </w:trPr>
        <w:tc>
          <w:tcPr>
            <w:tcW w:type="dxa" w:w="180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fisicoquímica de los materiales del estudio</w:t>
            </w:r>
          </w:p>
        </w:tc>
        <w:tc>
          <w:tcPr>
            <w:tcW w:type="dxa" w:w="100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8 variables integradas en 4 tipos de material; corrida M1–M2</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Medición experimental del TFG y servicio analítico externo sobre sus muestras</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Medido; resumido por muestra y jornada; integrado estadísticamente cuando es compatible</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Muestreo del investigador, Laboratorio de Bioenergía y reportes CIA/LASA de las muestras del TFG</w:t>
            </w:r>
          </w:p>
        </w:tc>
        <w:tc>
          <w:tcPr>
            <w:tcW w:type="dxa" w:w="252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Caracterización, parámetros experimentales y referencias de contraste del inventario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Tiempos y frecuencias habituales comunicados para la operación de la finca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5 parámetros operativos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Comunicación presencial con informante clave basada en consulta al personal operativo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Comunicado como estimación operativa aproximada; anualizado de forma reproducible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Saúl Brenes Gamboa, administrador de la lechería; registro retrospectivo respaldado por la visita de campo del 25 de agosto de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Duración y frecuencia de bombeo, almacenamiento y aplicación</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Características nominales observadas en equipos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característica nominal de equipo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Observación directa de placa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de la bomba Aermotor 20HBP200-01</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del consumo eléctrico del bombeo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operativos publicados de la misma lechería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parámetros publicados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publicados previamente para el sitio de estudio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Publicado; usado directamente o anualizado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Población, permanencia, estiércol recolectado y agua de lavado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generación de estiércol durante la permanencia en sala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supuesto basado en intervalo publicado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Literatura aplicada como base de un supuesto explícito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Límite inferior del intervalo bibliográfico citado por 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conservadora del estiércol depositado durante la permanencia en sala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Eficiencia de bomba, consumo de diésel y anualización operativa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2 supuestos explícitos con contexto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supuesto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numérico definido para el modelo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explícita del estudio; la nota de campo aporta contexto operativo, no el valor numérico supuesto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Cálculo de consumos de electricidad y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Identidades temporales para prorrateo y anualización</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3 registros estructurados de convenciones temporales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convención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 temporal, no fuente empírica ni bibliográfica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cálculo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temporal del modelo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Prorrateo diario y expresión anual de los flujos</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Transformación de masa de estiércol fresco a precompostado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y 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integrado de 2 jornadas elegibles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Derivación a partir de mediciones experimentales del TFG</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por jornada e integrado estadísticamente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cenizas determinadas en el Laboratorio de Bioenergía durante M1 y M2</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masa húmeda entre A1 y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y procedimientos IPCC para manejo y suelos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16 parámetros activos o de aseguramiento y control de la calidad con fuente IPCC</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internacional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Refinamiento 2019 de las Directrices IPCC de 2006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CH₄, N₂O y rutas hídricas de nitrógeno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EMEP/EEA de nitrógeno reactivo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10 parámetros activos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de inventarios de emisiones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Air Pollutant Emission Inventory Guidebook 2023</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y pérdidas explícitas de TAN, NH₃, NO y N₂</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experimental de NH₃ utilizado como aproximación en A2</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factor activo de literatura científica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Artículo científico utilizado como aproximación cuantitativa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 de literatura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NH₃ en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nacionales para recursos energéticos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4 factores aprobados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Documento técnico oficial 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emisión o consumo agregado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Instituto Meteorológico Nacional, Factores de emisión de gases de efecto invernadero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asociadas con electricidad y combustión de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de caracterización de impacto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9 correspondencias flujo–categoría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Método oficial de evaluación de impacto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caracterización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Masas, volúmenes y consumos del inventario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flujos por etapa construidos reproduciblemente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componentes primarios y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o derivado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y registros primarios, junto con publicaciones y bases bibliográficas secundarias, conservados en sus familias de origen</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de actividad del inventario por etapa; la futura matriz metodológica A1–B2 aportará trazabilidad más fina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entre etapas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A1→A2, A3→A4 y B1→B2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experimentales promovidos en 6 etapas y factores metodológicos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caracterización primaria y factores metodológicos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y propagado entre etapas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Integración experimental M1–M2 (primaria) y factores IPCC, EMEP/EEA o de literatura (secundarios), conservados por componente</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Las Tablas 20 y 21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pPr>
        <w:pStyle w:val="Rótuloacadémico"/>
        <w:keepNext/>
        <w:keepLines/>
      </w:pPr>
      <w:r>
        <w:rPr>
          <w:rFonts w:ascii="Times New Roman" w:hAnsi="Times New Roman"/>
          <w:b/>
          <w:color w:val="000000"/>
        </w:rPr>
        <w:t>Tabla 20</w:t>
      </w:r>
    </w:p>
    <w:p>
      <w:pPr>
        <w:pStyle w:val="Descripciónacadémica"/>
        <w:keepNext/>
        <w:keepLines/>
      </w:pPr>
      <w:r>
        <w:rPr>
          <w:rFonts w:ascii="Times New Roman" w:hAnsi="Times New Roman"/>
          <w:i/>
          <w:color w:val="000000"/>
        </w:rPr>
        <w:t>Procesos, variables y relaciones de cálculo por etapa A1–B2.</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144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Fase metodológica</w:t>
            </w:r>
          </w:p>
        </w:tc>
        <w:tc>
          <w:tcPr>
            <w:tcW w:type="dxa" w:w="21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Proceso o fenómeno modelado</w:t>
            </w:r>
          </w:p>
        </w:tc>
        <w:tc>
          <w:tcPr>
            <w:tcW w:type="dxa" w:w="201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Variable o flujo calculado</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396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Relación de cálculo</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Estiércol fresco recolectado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396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 A1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de precompostado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A2 = m A1 × promedio(R j); R j = (d f,j × a f,j)/(d p,j × a p,j)</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arrastrable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A3 = m depositado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eq,A4 = m remanente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teóricamente depositado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B1 = m recolectado / f recolectada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eq,B2 = m depositado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interetapa de N total y TAN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total,entrada,A2 = N total,salida,A1; TAN entrada,A2 = TAN salida,A1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en lombricompostaje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NH₃ = (m A2/1000) × 12,8/1000; N NH₃ = m NH₃ × 14/17</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de N estimada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perdido por la ruta hídrica modelada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water loss = N total,entrada × FracLeachMS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Ruta posterior de lixiviación o escorrentía en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NO₃⁻ y N₂O indirecto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water loss × FracLEACH; m NO₃⁻ = N lix × 62/14; 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aplicado,A4 = N salida,A3; TAN aplicado,A4 = TAN salida,A3</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aplicado,B2 = N salida,B1; TAN aplicado,B2 = TAN salida,B1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bl>
    <w:p>
      <w:pPr>
        <w:pStyle w:val="Notadetabla"/>
      </w:pPr>
      <w:r>
        <w:rPr>
          <w:rFonts w:ascii="Times New Roman" w:hAnsi="Times New Roman"/>
          <w:b/>
        </w:rPr>
        <w:t xml:space="preserve">Nota. </w:t>
      </w:r>
      <w:r>
        <w:rPr>
          <w:rFonts w:ascii="Times New Roman" w:hAnsi="Times New Roman"/>
        </w:rPr>
        <w:t>La columna Ecuación contiene el identificador estable que vincula esta vista con la tabla siguiente; la división es exclusivamente editorial y conserva las 66 relaciones de la matriz canónica.</w:t>
      </w:r>
    </w:p>
    <w:p>
      <w:pPr>
        <w:pStyle w:val="Rótuloacadémico"/>
        <w:keepNext/>
        <w:keepLines/>
      </w:pPr>
      <w:r>
        <w:rPr>
          <w:rFonts w:ascii="Times New Roman" w:hAnsi="Times New Roman"/>
          <w:b/>
          <w:color w:val="000000"/>
        </w:rPr>
        <w:t>Tabla 21</w:t>
      </w:r>
    </w:p>
    <w:p>
      <w:pPr>
        <w:pStyle w:val="Descripciónacadémica"/>
        <w:keepNext/>
        <w:keepLines/>
      </w:pPr>
      <w:r>
        <w:rPr>
          <w:rFonts w:ascii="Times New Roman" w:hAnsi="Times New Roman"/>
          <w:i/>
          <w:color w:val="000000"/>
        </w:rPr>
        <w:t>Datos, factores, fuentes y uso posterior por etapa A1–B2.</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Etapa del sistema</w:t>
            </w:r>
          </w:p>
        </w:tc>
        <w:tc>
          <w:tcPr>
            <w:tcW w:type="dxa" w:w="93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Ecuación</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Dato de actividad</w:t>
            </w:r>
          </w:p>
        </w:tc>
        <w:tc>
          <w:tcPr>
            <w:tcW w:type="dxa" w:w="172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Parámetro o factor</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Procedencia del dato o factor</w:t>
            </w:r>
          </w:p>
        </w:tc>
        <w:tc>
          <w:tcPr>
            <w:tcW w:type="dxa" w:w="208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Fuente metodológica</w:t>
            </w:r>
          </w:p>
        </w:tc>
        <w:tc>
          <w:tcPr>
            <w:tcW w:type="dxa" w:w="2448"/>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8"/>
              </w:rPr>
              <w:t>Salida o uso posterior</w:t>
            </w:r>
          </w:p>
        </w:tc>
      </w:tr>
      <w:tr>
        <w:trPr>
          <w:cantSplit/>
        </w:trPr>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M11</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Masa recolectada publicada para la misma lechería</w:t>
            </w:r>
          </w:p>
        </w:tc>
        <w:tc>
          <w:tcPr>
            <w:tcW w:type="dxa" w:w="172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No aplica; uso directo del dato publicado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Secundaria; dato publicado del sitio</w:t>
            </w:r>
          </w:p>
        </w:tc>
        <w:tc>
          <w:tcPr>
            <w:tcW w:type="dxa" w:w="208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8"/>
              </w:rPr>
              <w:t>Dato de actividad del inventario y masa de entrada a la transformación A1→A2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A1 publicada y factor experimental integrado a partir de materia seca y cenizas de M1–M2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Razón de transformación húmeda A1→A2 calculada primero por jornada y promediada con igual peso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factor de transformación primario y masa A1 secundaria;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Mediciones gravimétricas del TFG para el factor; Sánchez-Romero y Brenes-Gamboa (2026) para la masa A1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 y dato de actividad del inventario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masa depositada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A3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fracción recolectada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B1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depositado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sólido;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desde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intermedia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12,8 g NH₃/Mg de residuo orgánico húmedo; cálculo independiente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 no reinicializa N/TAN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FracLeachMS = 0,04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modelada que, por la frontera metodológica aprobada, se trata después como entrada a la ruta de suelo; no produce directamente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A1 tratada como entrada al suelo según la frontera aprobada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 conversión 62/14; 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y N₂O a aire para caracterización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A3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B1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NOx y NO₃⁻ generadas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generadas en A2; sin recursos operativos</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A3;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A3;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A4; ruta del diésel IMN → emisiones físicas →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B1;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B1;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B2; ruta del diésel IMN → emisiones físicas → EF 3.1</w:t>
            </w:r>
          </w:p>
        </w:tc>
      </w:tr>
    </w:tbl>
    <w:p>
      <w:pPr>
        <w:pStyle w:val="Notadetabla"/>
      </w:pPr>
      <w:r>
        <w:rPr>
          <w:rFonts w:ascii="Times New Roman" w:hAnsi="Times New Roman"/>
          <w:b/>
        </w:rPr>
        <w:t xml:space="preserve">Nota. </w:t>
      </w:r>
      <w:r>
        <w:rPr>
          <w:rFonts w:ascii="Times New Roman" w:hAnsi="Times New Roman"/>
        </w:rPr>
        <w:t>Cada fila corresponde a la misma combinación de escenario, etapa y ecuación presentada en la tabla anterior; no se han agregado, eliminado ni recalculado relaciones metodológicas.</w:t>
      </w:r>
    </w:p>
    <w:p>
      <w:pPr>
        <w:spacing w:line="240" w:lineRule="auto" w:before="0" w:after="0"/>
        <w:ind w:left="100" w:firstLine="719"/>
        <w:jc w:val="both"/>
        <w:sectPr>
          <w:pgSz w:w="15840" w:h="12240" w:orient="landscape"/>
          <w:pgMar w:top="1500" w:right="1320" w:bottom="280" w:left="1340" w:header="720" w:footer="720" w:gutter="0"/>
          <w:cols w:space="720"/>
          <w:docGrid w:linePitch="360"/>
        </w:sectPr>
      </w:pP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22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keepLines/>
      </w:pPr>
      <w:r>
        <w:rPr>
          <w:rFonts w:ascii="Times New Roman" w:hAnsi="Times New Roman"/>
          <w:b/>
          <w:color w:val="000000"/>
        </w:rPr>
        <w:t>Tabla 22</w:t>
      </w:r>
    </w:p>
    <w:p>
      <w:pPr>
        <w:pStyle w:val="Descripciónacadémica"/>
        <w:keepNext/>
        <w:keepLines/>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23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keepLines/>
      </w:pPr>
      <w:r>
        <w:rPr>
          <w:rFonts w:ascii="Times New Roman" w:hAnsi="Times New Roman"/>
          <w:b/>
          <w:color w:val="000000"/>
        </w:rPr>
        <w:t>Tabla 23</w:t>
      </w:r>
    </w:p>
    <w:p>
      <w:pPr>
        <w:pStyle w:val="Descripciónacadémica"/>
        <w:keepNext/>
        <w:keepLines/>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0,52 ± 0,21</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13,60 ± 0,89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15,3 ± 1,6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 ± 1,6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 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20,7 ± 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 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 ± 5,7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 ± 0,79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pStyle w:val="Notadetabla"/>
      </w:pPr>
      <w:r>
        <w:rPr>
          <w:rFonts w:ascii="Times New Roman" w:hAnsi="Times New Roman"/>
          <w:b/>
        </w:rPr>
        <w:t xml:space="preserve">Nota. </w:t>
      </w:r>
      <w:r>
        <w:rPr>
          <w:rFonts w:ascii="Times New Roman" w:hAnsi="Times New Roman"/>
        </w:rPr>
        <w:t>Cuando se dispone de dos campañas comparables, el resultado se presenta como media ± desviación estándar entre campañas; esta dispersión descriptiva no constituye una incertidumbre expandida. Los resultados líquidos procedentes solo de M2 conservan cuatro decimales para evitar que valores físicamente distintos de cero desaparezcan por redondeo.</w:t>
      </w:r>
    </w:p>
    <w:p>
      <w:pPr>
        <w:spacing w:line="240" w:lineRule="auto" w:before="0" w:after="0"/>
        <w:ind w:left="100" w:firstLine="719"/>
        <w:jc w:val="both"/>
        <w:sectPr>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24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keepLines/>
      </w:pPr>
      <w:r>
        <w:rPr>
          <w:rFonts w:ascii="Times New Roman" w:hAnsi="Times New Roman"/>
          <w:b/>
          <w:color w:val="000000"/>
        </w:rPr>
        <w:t>Tabla 24</w:t>
      </w:r>
    </w:p>
    <w:p>
      <w:pPr>
        <w:pStyle w:val="Descripciónacadémica"/>
        <w:keepNext/>
        <w:keepLines/>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90,79</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54,47</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52,39</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20,16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52,39</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13,83</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21,68</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65,08</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w:t>
            </w:r>
          </w:p>
        </w:tc>
      </w:tr>
    </w:tbl>
    <w:p>
      <w:pPr>
        <w:spacing w:line="240" w:lineRule="auto" w:before="0" w:after="0"/>
        <w:ind w:left="100" w:firstLine="719"/>
        <w:jc w:val="both"/>
      </w:pPr>
      <w:r>
        <w:rPr>
          <w:rFonts w:ascii="Times New Roman" w:hAnsi="Times New Roman"/>
          <w:sz w:val="24"/>
        </w:rPr>
        <w:t>La Tabla 25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keepLines/>
      </w:pPr>
      <w:r>
        <w:rPr>
          <w:rFonts w:ascii="Times New Roman" w:hAnsi="Times New Roman"/>
          <w:b/>
          <w:color w:val="000000"/>
        </w:rPr>
        <w:t>Tabla 25</w:t>
      </w:r>
    </w:p>
    <w:p>
      <w:pPr>
        <w:pStyle w:val="Descripciónacadémica"/>
        <w:keepNext/>
        <w:keepLines/>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17,43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0,5447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16,34</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0,4539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3,632</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0,8716</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9,121</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w:t>
            </w:r>
          </w:p>
        </w:tc>
      </w:tr>
    </w:tbl>
    <w:p>
      <w:pPr>
        <w:spacing w:line="240" w:lineRule="auto" w:before="0" w:after="0"/>
        <w:ind w:left="100" w:firstLine="719"/>
        <w:jc w:val="both"/>
      </w:pPr>
      <w:r>
        <w:rPr>
          <w:rFonts w:ascii="Times New Roman" w:hAnsi="Times New Roman"/>
          <w:sz w:val="24"/>
        </w:rPr>
        <w:t>La Tabla 26 desagrega las emisiones que explican los impactos por etapa. Los valores proceden de la tabla canónica de emisiones; la vista no añade rutas ni recalcula factores.</w:t>
      </w:r>
    </w:p>
    <w:p>
      <w:pPr>
        <w:pStyle w:val="Rótuloacadémico"/>
        <w:keepNext/>
        <w:keepLines/>
      </w:pPr>
      <w:r>
        <w:rPr>
          <w:rFonts w:ascii="Times New Roman" w:hAnsi="Times New Roman"/>
          <w:b/>
          <w:color w:val="000000"/>
        </w:rPr>
        <w:t>Tabla 26</w:t>
      </w:r>
    </w:p>
    <w:p>
      <w:pPr>
        <w:pStyle w:val="Descripciónacadémica"/>
        <w:keepNext/>
        <w:keepLines/>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8,117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0,7133</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0,3955</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0,01507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21,17</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1,79</w:t>
            </w:r>
          </w:p>
        </w:tc>
        <w:tc>
          <w:tcPr>
            <w:tcW w:type="dxa" w:w="1647"/>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val="0"/>
                <w:sz w:val="24"/>
              </w:rPr>
              <w:t>3,86</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121,3</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F. Trazabilidad de la verificación independiente Python–SimaPro</w:t>
      </w:r>
    </w:p>
    <w:p>
      <w:pPr>
        <w:spacing w:line="240" w:lineRule="auto" w:before="0" w:after="0"/>
        <w:ind w:left="100" w:firstLine="719"/>
        <w:jc w:val="both"/>
      </w:pPr>
      <w:r>
        <w:rPr>
          <w:rFonts w:ascii="Times New Roman" w:hAnsi="Times New Roman"/>
          <w:sz w:val="24"/>
        </w:rPr>
        <w:t>La Tabla 27 resume las nueve combinaciones activas inspeccionadas y distingue los resultados unitarios de la inspección directa de factores. La evidencia gráfica completa de la sesión se conserva separadamente como respaldo del aseguramiento de la calidad y no se reproduce en el manuscrito.</w:t>
      </w:r>
    </w:p>
    <w:p>
      <w:pPr>
        <w:pStyle w:val="Rótuloacadémico"/>
        <w:keepNext/>
        <w:keepLines/>
      </w:pPr>
      <w:r>
        <w:rPr>
          <w:rFonts w:ascii="Times New Roman" w:hAnsi="Times New Roman"/>
          <w:b/>
          <w:color w:val="000000"/>
        </w:rPr>
        <w:t>Tabla 27</w:t>
      </w:r>
    </w:p>
    <w:p>
      <w:pPr>
        <w:pStyle w:val="Descripciónacadémica"/>
        <w:keepNext/>
        <w:keepLines/>
      </w:pPr>
      <w:r>
        <w:rPr>
          <w:rFonts w:ascii="Times New Roman" w:hAnsi="Times New Roman"/>
          <w:i/>
          <w:color w:val="000000"/>
        </w:rPr>
        <w:t>Factores y resultados unitarios de la verificación EF 3.1.</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1080"/>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Flujo</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Compartimento y subcompartimento</w:t>
            </w:r>
          </w:p>
        </w:tc>
        <w:tc>
          <w:tcPr>
            <w:tcW w:type="dxa" w:w="158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Categoría</w:t>
            </w:r>
          </w:p>
        </w:tc>
        <w:tc>
          <w:tcPr>
            <w:tcW w:type="dxa" w:w="165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Factor Python</w:t>
            </w:r>
          </w:p>
        </w:tc>
        <w:tc>
          <w:tcPr>
            <w:tcW w:type="dxa" w:w="30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Observación en SimaPro</w:t>
            </w:r>
          </w:p>
        </w:tc>
        <w:tc>
          <w:tcPr>
            <w:tcW w:type="dxa" w:w="1224"/>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Clasificación</w:t>
            </w:r>
          </w:p>
        </w:tc>
        <w:tc>
          <w:tcPr>
            <w:tcW w:type="dxa" w:w="2376"/>
            <w:vAlign w:val="center"/>
            <w:tcMar>
              <w:top w:w="72" w:type="dxa"/>
              <w:left w:w="72" w:type="dxa"/>
              <w:bottom w:w="72" w:type="dxa"/>
              <w:right w:w="72" w:type="dxa"/>
            </w:tcMar>
          </w:tcPr>
          <w:p>
            <w:pPr>
              <w:keepNext/>
              <w:keepLines/>
              <w:spacing w:line="240" w:lineRule="auto" w:before="0" w:after="0"/>
              <w:ind w:left="0" w:firstLine="0"/>
              <w:jc w:val="center"/>
            </w:pPr>
            <w:r>
              <w:rPr>
                <w:rFonts w:ascii="Times New Roman" w:hAnsi="Times New Roman"/>
                <w:b/>
                <w:sz w:val="16"/>
              </w:rPr>
              <w:t>Explicación</w:t>
            </w:r>
          </w:p>
        </w:tc>
      </w:tr>
      <w:tr>
        <w:trPr>
          <w:cantSplit/>
        </w:trPr>
        <w:tc>
          <w:tcPr>
            <w:tcW w:type="dxa" w:w="1080"/>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CH₄ biogénico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27,0 kg CO₂-eq/kg CH₄</w:t>
            </w:r>
          </w:p>
        </w:tc>
        <w:tc>
          <w:tcPr>
            <w:tcW w:type="dxa" w:w="30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27 kg CO₂-eq/kg CH₄; resultado: 27 kg CO₂-eq</w:t>
            </w:r>
          </w:p>
        </w:tc>
        <w:tc>
          <w:tcPr>
            <w:tcW w:type="dxa" w:w="1224"/>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keepNext/>
              <w:keepLines/>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N₂O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273,0 kg CO₂-eq/kg N₂O</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273 kg CO₂-eq/kg N₂O; resultado: 273 kg CO₂-eq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13,47 mol N-eq/kg NH₃; resultado: 13,5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B</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Redondeo visible del resultado; el factor observado fue 13,47.</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NH₃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0,092 kg N-eq/kg NH₃; resultado: 0,092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terrestre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4,26 mol N-eq/kg NOx como NO₂; resultado: 4,26 mol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NOx como NO₂</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0,389 kg N-eq/kg NOx como NO₂; resultado: 0,389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NO₃⁻</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Agua; agua dulce</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Eutrofización marina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0,226 kg N-eq/kg NO₃⁻; resultado: 0,226 kg N-eq</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Concordancia dentro de la precisión observada.</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CO₂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1,0 kg CO₂-eq/kg CO₂</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1 kg CO₂-eq/kg CO₂;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r>
        <w:trPr>
          <w:cantSplit/>
        </w:trPr>
        <w:tc>
          <w:tcPr>
            <w:tcW w:type="dxa" w:w="108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CH₄ fósil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Aire; no especificado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Cambio climático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w:t>
            </w:r>
          </w:p>
        </w:tc>
        <w:tc>
          <w:tcPr>
            <w:tcW w:type="dxa" w:w="30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29,8 kg CO₂-eq/kg CH₄; sin resultado unitario independiente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A para el factor</w:t>
            </w:r>
          </w:p>
        </w:tc>
        <w:tc>
          <w:tcPr>
            <w:tcW w:type="dxa" w:w="237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6"/>
              </w:rPr>
              <w:t>Factor inspeccionado directamente; no se ejecutó un proceso unitario.</w:t>
            </w:r>
          </w:p>
        </w:tc>
      </w:tr>
    </w:tbl>
    <w:p>
      <w:pPr>
        <w:pStyle w:val="Notadetabla"/>
      </w:pPr>
      <w:r>
        <w:rPr>
          <w:rFonts w:ascii="Times New Roman" w:hAnsi="Times New Roman"/>
          <w:b/>
        </w:rPr>
        <w:t xml:space="preserve">Nota. </w:t>
      </w:r>
      <w:r>
        <w:rPr>
          <w:rFonts w:ascii="Times New Roman" w:hAnsi="Times New Roman"/>
        </w:rPr>
        <w:t>La clasificación A indica concordancia exacta o dentro de la precisión mostrada; B indica una diferencia explicable por precisión o redondeo. En CO₂ fósil y CH₄ fósil la clasificación se limita al factor inspeccionado porque no se ejecutó un proceso unitario independiente.</w:t>
      </w:r>
    </w:p>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 w:type="paragraph" w:customStyle="1" w:styleId="Notadetabla">
    <w:name w:val="Nota de tabla"/>
    <w:pPr>
      <w:spacing w:before="60" w:after="120" w:line="240" w:lineRule="auto"/>
      <w:ind w:firstLine="0" w:left="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