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pPr>
      <w:r>
        <w:rPr>
          <w:rFonts w:ascii="Times New Roman" w:hAnsi="Times New Roman"/>
          <w:b/>
        </w:rPr>
        <w:t>Universidad de Costa Rica</w:t>
      </w:r>
    </w:p>
    <w:p>
      <w:pPr>
        <w:pStyle w:val="Portadacentrada"/>
      </w:pPr>
      <w:r>
        <w:rPr>
          <w:rFonts w:ascii="Times New Roman" w:hAnsi="Times New Roman"/>
          <w:b/>
        </w:rPr>
        <w:t>Escuela de Ingeniería de Biosistemas</w:t>
      </w:r>
    </w:p>
    <w:p>
      <w:pPr>
        <w:pStyle w:val="Portadacentrada"/>
      </w:pPr>
      <w:r>
        <w:rPr>
          <w:rFonts w:ascii="Times New Roman" w:hAnsi="Times New Roman"/>
          <w:b/>
        </w:rPr>
        <w:t>Trabajo Final de Graduación</w:t>
      </w:r>
    </w:p>
    <w:p>
      <w:pPr>
        <w:spacing w:line="240" w:lineRule="auto" w:before="0" w:after="0"/>
        <w:ind w:left="100" w:firstLine="719"/>
        <w:jc w:val="both"/>
      </w:pPr>
    </w:p>
    <w:p>
      <w:pPr>
        <w:pStyle w:val="Títulointegral"/>
      </w:pPr>
      <w:r>
        <w:rPr>
          <w:rFonts w:ascii="Times New Roman" w:hAnsi="Times New Roman"/>
        </w:rPr>
        <w:t>Análisis de ciclo de vida de los desechos bovinos, sólidos y líquidos producidos en una lechería especializada en Turrialba, Costa Rica</w:t>
      </w:r>
    </w:p>
    <w:p>
      <w:pPr>
        <w:spacing w:line="240" w:lineRule="auto" w:before="0" w:after="0"/>
        <w:ind w:left="100" w:firstLine="719"/>
        <w:jc w:val="both"/>
      </w:pPr>
    </w:p>
    <w:p>
      <w:pPr>
        <w:pStyle w:val="Portadacentrada"/>
      </w:pPr>
      <w:r>
        <w:rPr>
          <w:rFonts w:ascii="Times New Roman" w:hAnsi="Times New Roman"/>
        </w:rPr>
        <w:t>Mateo Cerdas Barboza</w:t>
        <w:br/>
        <w:t>Carné B71946</w:t>
      </w:r>
    </w:p>
    <w:p>
      <w:pPr>
        <w:spacing w:line="240" w:lineRule="auto" w:before="0" w:after="0"/>
        <w:ind w:left="100" w:firstLine="719"/>
        <w:jc w:val="both"/>
      </w:pPr>
    </w:p>
    <w:p>
      <w:pPr>
        <w:pStyle w:val="Portadacentrada"/>
      </w:pPr>
      <w:r>
        <w:rPr>
          <w:rFonts w:ascii="Times New Roman" w:hAnsi="Times New Roman"/>
          <w:b/>
        </w:rPr>
        <w:t>PROVISIONAL M1–M2</w:t>
      </w:r>
    </w:p>
    <w:p>
      <w:pPr>
        <w:pStyle w:val="Portadacentrada"/>
      </w:pPr>
      <w:r>
        <w:rPr>
          <w:rFonts w:ascii="Times New Roman" w:hAnsi="Times New Roman"/>
          <w:i/>
        </w:rPr>
        <w:t>Documento integral de trabajo para revisión académica. La jornada M3 permanece pendiente.</w:t>
      </w:r>
    </w:p>
    <w:p>
      <w:pPr>
        <w:pStyle w:val="Portadacentrada"/>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documento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2009), el Departamento de Agricultura de los Estados Unidos (USDA)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L/m2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Análisis de ciclo de vida del manejo del estiércol bovino</w:t>
      </w:r>
    </w:p>
    <w:p>
      <w:pPr>
        <w:spacing w:line="240" w:lineRule="auto" w:before="0" w:after="0"/>
        <w:ind w:left="100" w:firstLine="719"/>
        <w:jc w:val="both"/>
      </w:pPr>
      <w:r>
        <w:rPr>
          <w:rFonts w:ascii="Times New Roman" w:hAnsi="Times New Roman"/>
          <w:sz w:val="24"/>
        </w:rPr>
        <w:t>El refinamiento de las Directrices del IPCC (2006) para Inventarios Nacionales de Gases de Efecto Invernadero (2019), proporcionan una metodología estandarizada para estimar las emisiones de GEI. Esta se organiza en diversos sectores, incluyendo el agrícola, y resulta fundamental para el desarrollo de ICV en categorías de impacto como el calentamiento global. Estas directrices desglosan las emisiones por categorías y subcategorías. Las subcategorías de relevancia para este proyecto son la gestión del estiércol y los suelos gestionados. Permitiendo la cuantificación de emisiones directas de GEI como metano (CH₄) y óxido nitroso (N₂O). Así como de emisiones indirectas relacionadas con la volatilización y lixiviación de compuestos nitrogenados, tales como amoníaco (NH₃) y nitratos (NO₃⁻).</w:t>
      </w:r>
    </w:p>
    <w:p>
      <w:pPr>
        <w:spacing w:line="240" w:lineRule="auto" w:before="0" w:after="0"/>
        <w:ind w:left="100" w:firstLine="719"/>
        <w:jc w:val="both"/>
      </w:pPr>
      <w:r>
        <w:rPr>
          <w:rFonts w:ascii="Times New Roman" w:hAnsi="Times New Roman"/>
          <w:sz w:val="24"/>
        </w:rPr>
        <w:t>En el contexto de ACV, las metodologías encontradas en IPCC (2019) no solo ayudan a estimar el potencial de calentamiento global (PCG) de estas emisiones. Sino que también permiten evaluar el potencial de eutrofización al proporcionar los datos de nitrógeno que se pierde en el sistema y que contribuyen a la contaminación de ecosistemas acuáticos. De esta manera, las directrices del IPCC facilitan una aproximación sistemática y detallada para evaluar el impacto ambiental del manejo de estiércol en categorías clave de ICV.</w:t>
      </w:r>
    </w:p>
    <w:p>
      <w:pPr>
        <w:spacing w:line="240" w:lineRule="auto" w:before="0" w:after="0"/>
        <w:ind w:left="100" w:firstLine="719"/>
        <w:jc w:val="both"/>
      </w:pPr>
      <w:r>
        <w:rPr>
          <w:rFonts w:ascii="Times New Roman" w:hAnsi="Times New Roman"/>
          <w:sz w:val="24"/>
        </w:rPr>
        <w:t>Según IPCC (2019) las emisiones indirectas son causadas por las pérdidas de nitrógeno en forma volátil, principalmente en forma de amoníaco (NH₃) y óxidos de nitrógeno NOx. La fracción de nitrógeno orgánico que se mineraliza en nitrógeno amoniacal durante la recolección y almacenamiento del estiércol depende principalmente de la disponibilidad de oxígeno, el tiempo y la temperatura. Formas simples de nitrógeno orgánico, como la urea (en mamíferos) y el ácido úrico (en aves de corral), se mineralizan rápidamente en nitrógeno amoniacal, transformándose en amoníaco en condiciones alcalinas. El amoníaco, por su alta volatilidad, se dispersa fácilmente en el aire circundante (Asman et al., 1998; Monteny y Erisman 1998). Las pérdidas de nitrógeno comienzan en el punto de excreción de las áreas de producción animal (como las salas de ordeño). Y continúan durante la gestión en los sistemas de almacenamiento y tratamiento (es decir, en los sistemas de gestión del estiércol). Estas terminan cuando los productos de los sistemas de gestión del estiércol son desechados, la gran mayoría son depositados en suelos como parte de la gestión de suelos.</w:t>
      </w:r>
    </w:p>
    <w:p>
      <w:pPr>
        <w:pStyle w:val="Heading2"/>
      </w:pPr>
      <w:r>
        <w:rPr>
          <w:rFonts w:ascii="Times New Roman" w:hAnsi="Times New Roman"/>
          <w:color w:val="000000"/>
        </w:rPr>
        <w:t>2.5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kgCO2 eq/ton y 126,4 gPO4-3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10-8 kg de P eq para la eutrofización del agua dulce y 2,17 × 10-9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m2 de espacio funcional, distribuidos en tres secciones: precomposteo, camas y secado, con superficies de 15m2, 60m2 y 81m2, respectivamente. El suelo y las camas estuvieron hechos de cemento y mampostería (con bloques de 12x20x40 cm), respectivamente. La sección de precomposteo tuvo en total 10,3 m de largo, 0,64 m de ancho y una profundidad de 1,7 m, su volumen fue de 11,25 m3. Las camas tuvieron un largo total de 21,5 m y un ancho y profundidad de 1,62 m de 0,425 m, y estuvo dividida en 5 unidades. Siendo una de ellas de la mitad del ancho antes mencionado, el volumen total fue de 13,3 m3.</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Las campañas A y B se realizaron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A1 duró aproximadamente entre 21 días y cerca de un mes, por lo que se representa como tres a cuatro semanas sin tratar 28 días como una medición exacta.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Estas duraciones son contextuales y no escalan factores. El presente TFG no muestreó lombricompost terminado; las muestras correspondieron a material precompostado previo a A2.</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Tabla 1 presenta la jerarquía de etapas utilizada en todo el documento integral.</w:t>
      </w:r>
    </w:p>
    <w:p>
      <w:pPr>
        <w:pStyle w:val="Heading2"/>
      </w:pPr>
      <w:r>
        <w:rPr>
          <w:rFonts w:ascii="Times New Roman" w:hAnsi="Times New Roman"/>
          <w:color w:val="000000"/>
        </w:rPr>
        <w:t>4.3 Muestreo e integración temporal</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analíticas no se trataron como observaciones temporales independientes y las jornadas recibieron igual peso temporal.</w:t>
      </w:r>
    </w:p>
    <w:p>
      <w:pPr>
        <w:spacing w:line="240" w:lineRule="auto" w:before="0" w:after="0"/>
        <w:ind w:left="100" w:firstLine="719"/>
        <w:jc w:val="both"/>
      </w:pPr>
      <w:r>
        <w:rPr>
          <w:rFonts w:ascii="Times New Roman" w:hAnsi="Times New Roman"/>
          <w:sz w:val="24"/>
        </w:rPr>
        <w:t>En M1 se analizaron, por cada sólido, dos muestras compuestas en Bioenergía y otras dos muestras compuestas físicamente independientes en el laboratorio externo: LASA para estiércol fresco y CIA para precompostado. En M2 se conservaron tres muestras compuestas por sólido; Bioenergía realizó tres réplicas gravimétricas por muestra y el remanente de esas mismas muestras fue analizado por LASA o CIA.</w:t>
      </w:r>
    </w:p>
    <w:p>
      <w:pPr>
        <w:spacing w:line="240" w:lineRule="auto" w:before="0" w:after="0"/>
        <w:ind w:left="100" w:firstLine="719"/>
        <w:jc w:val="both"/>
      </w:pPr>
      <w:r>
        <w:rPr>
          <w:rFonts w:ascii="Times New Roman" w:hAnsi="Times New Roman"/>
          <w:sz w:val="24"/>
        </w:rPr>
        <w:t>Bioenergía determinó húmedad y materia seca por gravimetría a 105 °C durante 16 h. El CIA determinó N y C del precompostado por Dumas sobre muestra seca o acondicionada a 80 °C durante 48 h. El porcentaje de N se combinó con la materia seca independiente de Bioenergía para construir el benchmark húmedo de A2; C y C/N permanecieron como caracterización descriptiva, sin conversión húmeda ni uso productivo.</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En aguas verdes y purines, M1 correspondió a especiación y se conservó para trazabilidad; el N total líquido activo procedió de M2 mediante Kjeldahl. M3 permanece pendiente y se incorporará mediante el mismo pipeline para producir la caracterización final.</w:t>
      </w:r>
    </w:p>
    <w:p>
      <w:pPr>
        <w:spacing w:line="240" w:lineRule="auto" w:before="0" w:after="0"/>
        <w:ind w:left="100" w:firstLine="719"/>
        <w:jc w:val="both"/>
      </w:pPr>
      <w:r>
        <w:rPr>
          <w:rFonts w:ascii="Times New Roman" w:hAnsi="Times New Roman"/>
          <w:sz w:val="24"/>
        </w:rPr>
        <w:t>La transformación de estiércol fresco a precompostado se calculó primero por jornada mediante materia seca y cenizas de ambos materiales; posteriormente se integraron los factores de jornada con igual peso temporal. La pérdida integrada se derivó del factor integrado.</w:t>
      </w:r>
    </w:p>
    <w:p>
      <w:pPr>
        <w:spacing w:line="240" w:lineRule="auto" w:before="0" w:after="0"/>
        <w:ind w:left="100" w:firstLine="719"/>
        <w:jc w:val="both"/>
      </w:pPr>
      <w:r>
        <w:rPr>
          <w:rFonts w:ascii="Times New Roman" w:hAnsi="Times New Roman"/>
          <w:sz w:val="24"/>
        </w:rPr>
        <w:t>Antes de cada campaña líquida, la tanqueta se vació el jueves por la tarde y acumuló material hasta el lunes por la mañana. Durante ese intervalo de acumulación previo al muestreo continuaron las entradas y ocurrieron dos lavados; no fue una carga cerrada ni un ensayo de almacenamiento estático. Esta preparación de muestra no sustituyó la frecuencia operativa representativa de aproximadamente tres días.</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Caracterización fisicoquímica provisional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bl>
    <w:p>
      <w:pPr>
        <w:spacing w:line="240" w:lineRule="auto" w:before="0" w:after="0"/>
        <w:ind w:left="100" w:firstLine="719"/>
        <w:jc w:val="both"/>
      </w:pPr>
      <w:r>
        <w:rPr>
          <w:rFonts w:ascii="Times New Roman" w:hAnsi="Times New Roman"/>
          <w:sz w:val="24"/>
        </w:rPr>
        <w:t>La Tabla 2 resume los datos experimentales promovidos a la corrida provisional.</w:t>
      </w:r>
    </w:p>
    <w:p>
      <w:pPr>
        <w:pStyle w:val="Heading2"/>
      </w:pPr>
      <w:r>
        <w:rPr>
          <w:rFonts w:ascii="Times New Roman" w:hAnsi="Times New Roman"/>
          <w:color w:val="000000"/>
        </w:rPr>
        <w:t>4.4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un subbalance sujeto a 0 ≤ TAN ≤ N total.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benchmark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EMEP/EEA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A2: Lombricompostaje se representó mediante la categoría IPCC de compostaje en hileras pasivas como aproximación disponible. La fracción de pérdida de N por lixiviación se estableció en cero para las condiciones del sistema estudiado, sin cambiar el factor genérico de la categoría. Las ecuaciones siguientes documentan el núcleo necesario para reproducir la lógica vigente; los factores específicos por etapa se presentan en la tabla metodológica correspondiente.</w:t>
      </w:r>
    </w:p>
    <w:p>
      <w:pPr>
        <w:pStyle w:val="Heading3"/>
      </w:pPr>
      <w:r>
        <w:rPr>
          <w:rFonts w:ascii="Times New Roman" w:hAnsi="Times New Roman"/>
          <w:color w:val="000000"/>
        </w:rPr>
        <w:t>4.4.1 Metano de las etapas de manejo</w:t>
      </w:r>
    </w:p>
    <w:p>
      <w:pPr>
        <w:ind w:left="0" w:firstLine="0"/>
        <w:jc w:val="center"/>
      </w:pPr>
      <w:r>
        <w:rPr>
          <w:rFonts w:ascii="Cambria Math" w:hAnsi="Cambria Math"/>
        </w:rPr>
        <w:t>m_CH₄ = m_manejada × VS_húmeda × B₀ × 0,67 × (MCF/100) × AWMS    (1)</w:t>
      </w:r>
    </w:p>
    <w:p>
      <w:pPr>
        <w:spacing w:line="240" w:lineRule="auto" w:before="0" w:after="0"/>
        <w:ind w:left="100" w:firstLine="719"/>
        <w:jc w:val="both"/>
      </w:pPr>
      <w:r>
        <w:rPr>
          <w:rFonts w:ascii="Times New Roman" w:hAnsi="Times New Roman"/>
          <w:sz w:val="24"/>
        </w:rPr>
        <w:t>m_CH₄ es la emisión de metano de la etapa; m_manejada es la masa húmeda manejada; VS_húmeda es la fracción de sólidos volátiles en base húmeda; B₀ es la capacidad máxima de producción de metano; MCF es el factor de conversión de metano y AWMS es la fracción manejada por el sistema.</w:t>
      </w:r>
    </w:p>
    <w:p>
      <w:pPr>
        <w:pStyle w:val="Heading3"/>
      </w:pPr>
      <w:r>
        <w:rPr>
          <w:rFonts w:ascii="Times New Roman" w:hAnsi="Times New Roman"/>
          <w:color w:val="000000"/>
        </w:rPr>
        <w:t>4.4.2 Balance secuencial de N total y TAN</w:t>
      </w:r>
    </w:p>
    <w:p>
      <w:pPr>
        <w:ind w:left="0" w:firstLine="0"/>
        <w:jc w:val="center"/>
      </w:pPr>
      <w:r>
        <w:rPr>
          <w:rFonts w:ascii="Cambria Math" w:hAnsi="Cambria Math"/>
        </w:rPr>
        <w:t>TAN_fresco = 0,60 × N_total,fresco    (2)</w:t>
      </w:r>
    </w:p>
    <w:p>
      <w:pPr>
        <w:spacing w:line="240" w:lineRule="auto" w:before="0" w:after="0"/>
        <w:ind w:left="100" w:firstLine="719"/>
        <w:jc w:val="both"/>
      </w:pPr>
      <w:r>
        <w:rPr>
          <w:rFonts w:ascii="Times New Roman" w:hAnsi="Times New Roman"/>
          <w:sz w:val="24"/>
        </w:rPr>
        <w:t>TAN_fresco es el nitrógeno amoniacal total en la frontera fresca y N_total,fresco es el nitrógeno total del estiércol fresco.</w:t>
      </w:r>
    </w:p>
    <w:p>
      <w:pPr>
        <w:ind w:left="0" w:firstLine="0"/>
        <w:jc w:val="center"/>
      </w:pPr>
      <w:r>
        <w:rPr>
          <w:rFonts w:ascii="Cambria Math" w:hAnsi="Cambria Math"/>
        </w:rPr>
        <w:t>TAN_disponible = TAN_entrada + N_mineralizado    (3)</w:t>
      </w:r>
    </w:p>
    <w:p>
      <w:pPr>
        <w:spacing w:line="240" w:lineRule="auto" w:before="0" w:after="0"/>
        <w:ind w:left="100" w:firstLine="719"/>
        <w:jc w:val="both"/>
      </w:pPr>
      <w:r>
        <w:rPr>
          <w:rFonts w:ascii="Times New Roman" w:hAnsi="Times New Roman"/>
          <w:sz w:val="24"/>
        </w:rPr>
        <w:t>La mineralización se aplica donde corresponde antes de estimar las pérdidas EMEP/EEA sobre el TAN disponible.</w:t>
      </w:r>
    </w:p>
    <w:p>
      <w:pPr>
        <w:ind w:left="0" w:firstLine="0"/>
        <w:jc w:val="center"/>
      </w:pPr>
      <w:r>
        <w:rPr>
          <w:rFonts w:ascii="Cambria Math" w:hAnsi="Cambria Math"/>
        </w:rPr>
        <w:t>N_j = TAN_disponible × f_j,  j ∈ {NH₃-N, NO-N, N₂-N}    (4)</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con el factor específico de Komakech et al. (2016), mientras NO-N y N₂-N conservan provisionalmente los factores sólidos EMEP/EEA.</w:t>
      </w:r>
    </w:p>
    <w:p>
      <w:pPr>
        <w:ind w:left="0" w:firstLine="0"/>
        <w:jc w:val="center"/>
      </w:pPr>
      <w:r>
        <w:rPr>
          <w:rFonts w:ascii="Cambria Math" w:hAnsi="Cambria Math"/>
        </w:rPr>
        <w:t>N_N₂O–N,directo = N_total,entrada × EF₃    (5)</w:t>
      </w:r>
    </w:p>
    <w:p>
      <w:pPr>
        <w:ind w:left="0" w:firstLine="0"/>
        <w:jc w:val="center"/>
      </w:pPr>
      <w:r>
        <w:rPr>
          <w:rFonts w:ascii="Cambria Math" w:hAnsi="Cambria Math"/>
        </w:rPr>
        <w:t>m_N₂O,directo = N_N₂O–N,directo × 44/28    (6)</w:t>
      </w:r>
    </w:p>
    <w:p>
      <w:pPr>
        <w:ind w:left="0" w:firstLine="0"/>
        <w:jc w:val="center"/>
      </w:pPr>
      <w:r>
        <w:rPr>
          <w:rFonts w:ascii="Cambria Math" w:hAnsi="Cambria Math"/>
        </w:rPr>
        <w:t>N_total,salida = N_total,entrada − N_NH₃ − N_NOx − N_N₂ − N_N₂O–N,directo − N_pérdida,hídrica    (7)</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ind w:left="0" w:firstLine="0"/>
        <w:jc w:val="center"/>
      </w:pPr>
      <w:r>
        <w:rPr>
          <w:rFonts w:ascii="Cambria Math" w:hAnsi="Cambria Math"/>
        </w:rPr>
        <w:t>N_precursor,vol = N_NH₃ + N_NOx    (8)</w:t>
      </w:r>
    </w:p>
    <w:p>
      <w:pPr>
        <w:ind w:left="0" w:firstLine="0"/>
        <w:jc w:val="center"/>
      </w:pPr>
      <w:r>
        <w:rPr>
          <w:rFonts w:ascii="Cambria Math" w:hAnsi="Cambria Math"/>
        </w:rPr>
        <w:t>m_N₂O,ind,vol = N_precursor,vol × EF₄ × 44/28    (9)</w:t>
      </w:r>
    </w:p>
    <w:p>
      <w:pPr>
        <w:pStyle w:val="Heading3"/>
      </w:pPr>
      <w:r>
        <w:rPr>
          <w:rFonts w:ascii="Times New Roman" w:hAnsi="Times New Roman"/>
          <w:color w:val="000000"/>
        </w:rPr>
        <w:t>4.4.3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ind w:left="0" w:firstLine="0"/>
        <w:jc w:val="center"/>
      </w:pPr>
      <w:r>
        <w:rPr>
          <w:rFonts w:ascii="Cambria Math" w:hAnsi="Cambria Math"/>
        </w:rPr>
        <w:t>N_drenaje,A1 = N_total,A1 × FracLeachMS_A1    (10)</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ind w:left="0" w:firstLine="0"/>
        <w:jc w:val="center"/>
      </w:pPr>
      <w:r>
        <w:rPr>
          <w:rFonts w:ascii="Cambria Math" w:hAnsi="Cambria Math"/>
        </w:rPr>
        <w:t>N_NH₃,aplic = TAN_aplicado × f_NH₃;  N_NOx,aplic = (N_aplicado × f_NO₂) × 14/46    (11)</w:t>
      </w:r>
    </w:p>
    <w:p>
      <w:pPr>
        <w:ind w:left="0" w:firstLine="0"/>
        <w:jc w:val="center"/>
      </w:pPr>
      <w:r>
        <w:rPr>
          <w:rFonts w:ascii="Cambria Math" w:hAnsi="Cambria Math"/>
        </w:rPr>
        <w:t>m_N₂O,directo,suelo = N_aplicado × EF₁ × 44/28    (12)</w:t>
      </w:r>
    </w:p>
    <w:p>
      <w:pPr>
        <w:ind w:left="0" w:firstLine="0"/>
        <w:jc w:val="center"/>
      </w:pPr>
      <w:r>
        <w:rPr>
          <w:rFonts w:ascii="Cambria Math" w:hAnsi="Cambria Math"/>
        </w:rPr>
        <w:t>N_lix,esc = N_entrada,suelo × FracLEACH_suelo    (13)</w:t>
      </w:r>
    </w:p>
    <w:p>
      <w:pPr>
        <w:ind w:left="0" w:firstLine="0"/>
        <w:jc w:val="center"/>
      </w:pPr>
      <w:r>
        <w:rPr>
          <w:rFonts w:ascii="Cambria Math" w:hAnsi="Cambria Math"/>
        </w:rPr>
        <w:t>m_NO₃⁻ = N_lix,esc × 62/14    (14)</w:t>
      </w:r>
    </w:p>
    <w:p>
      <w:pPr>
        <w:ind w:left="0" w:firstLine="0"/>
        <w:jc w:val="center"/>
      </w:pPr>
      <w:r>
        <w:rPr>
          <w:rFonts w:ascii="Cambria Math" w:hAnsi="Cambria Math"/>
        </w:rPr>
        <w:t>m_N₂O,ind,lix = N_lix,esc × EF₅ × 44/28    (15)</w:t>
      </w:r>
    </w:p>
    <w:p>
      <w:pPr>
        <w:pStyle w:val="Heading2"/>
      </w:pPr>
      <w:r>
        <w:rPr>
          <w:rFonts w:ascii="Times New Roman" w:hAnsi="Times New Roman"/>
          <w:color w:val="000000"/>
        </w:rPr>
        <w:t>4.5 Evaluación de impactos y consumos operativos</w:t>
      </w:r>
    </w:p>
    <w:p>
      <w:pPr>
        <w:spacing w:line="240" w:lineRule="auto" w:before="0" w:after="0"/>
        <w:ind w:left="100" w:firstLine="719"/>
        <w:jc w:val="both"/>
      </w:pPr>
      <w:r>
        <w:rPr>
          <w:rFonts w:ascii="Times New Roman" w:hAnsi="Times New Roman"/>
          <w:sz w:val="24"/>
        </w:rPr>
        <w:t>Environmental Footprint 3.1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proxy IPCC conservador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del proxy metodológico se trataron como conceptos distintos.</w:t>
      </w:r>
    </w:p>
    <w:p>
      <w:pPr>
        <w:ind w:left="0" w:firstLine="0"/>
        <w:jc w:val="center"/>
      </w:pPr>
      <w:r>
        <w:rPr>
          <w:rFonts w:ascii="Cambria Math" w:hAnsi="Cambria Math"/>
        </w:rPr>
        <w:t>I_c = Σᵢ (m_i × CF_i,c)    (16)</w:t>
      </w:r>
    </w:p>
    <w:p>
      <w:pPr>
        <w:spacing w:line="240" w:lineRule="auto" w:before="0" w:after="0"/>
        <w:ind w:left="100" w:firstLine="719"/>
        <w:jc w:val="both"/>
      </w:pPr>
      <w:r>
        <w:rPr>
          <w:rFonts w:ascii="Times New Roman" w:hAnsi="Times New Roman"/>
          <w:sz w:val="24"/>
        </w:rPr>
        <w:t>I_c es el indicador de la categoría c, m_i es la masa del flujo elemental i y CF_i,c es su factor de caracterización en esa categoría.</w:t>
      </w:r>
    </w:p>
    <w:p>
      <w:pPr>
        <w:ind w:left="0" w:firstLine="0"/>
        <w:jc w:val="center"/>
      </w:pPr>
      <w:r>
        <w:rPr>
          <w:rFonts w:ascii="Cambria Math" w:hAnsi="Cambria Math"/>
        </w:rPr>
        <w:t>CC_total = CC_manejo + CC_electricidad + CC_diésel    (17)</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718151"/>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718151"/>
                    </a:xfrm>
                    <a:prstGeom prst="rect"/>
                  </pic:spPr>
                </pic:pic>
              </a:graphicData>
            </a:graphic>
          </wp:inline>
        </w:drawing>
      </w:r>
    </w:p>
    <w:p>
      <w:pPr>
        <w:spacing w:line="240" w:lineRule="auto" w:before="0" w:after="0"/>
        <w:ind w:left="100" w:firstLine="719"/>
        <w:jc w:val="both"/>
      </w:pPr>
      <w:r>
        <w:rPr>
          <w:rFonts w:ascii="Times New Roman" w:hAnsi="Times New Roman"/>
          <w:sz w:val="24"/>
        </w:rPr>
        <w:t>La Tabla 3 documenta los factores visibles principales y la Figura 2 muestra la escala operacional de los flujos.</w:t>
      </w:r>
    </w:p>
    <w:p>
      <w:pPr>
        <w:pStyle w:val="Heading2"/>
      </w:pPr>
      <w:r>
        <w:rPr>
          <w:rFonts w:ascii="Times New Roman" w:hAnsi="Times New Roman"/>
          <w:color w:val="000000"/>
        </w:rPr>
        <w:t>4.6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el uso de categorías metodológicas aproximadas para A2 y la extrapolación de observaciones operativas puntuales. Estas limitaciones se mantienen explícitas y se revisarán después de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húmedad y 13,6 % de materia seca. El material precompostado presentó 79,33 % de húmedad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spacing w:line="240" w:lineRule="auto" w:before="0" w:after="0"/>
        <w:ind w:left="100" w:firstLine="719"/>
        <w:jc w:val="both"/>
      </w:pPr>
      <w:r>
        <w:rPr>
          <w:rFonts w:ascii="Times New Roman" w:hAnsi="Times New Roman"/>
          <w:sz w:val="24"/>
        </w:rPr>
        <w:t>La Figura 3 presenta la caracterización gravimétrica provisional.</w:t>
      </w:r>
    </w:p>
    <w:p>
      <w:pPr>
        <w:pStyle w:val="Heading2"/>
      </w:pPr>
      <w:r>
        <w:rPr>
          <w:rFonts w:ascii="Times New Roman" w:hAnsi="Times New Roman"/>
          <w:color w:val="000000"/>
        </w:rPr>
        <w:t>5.2 Emisiones estimadas</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763926"/>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763926"/>
                    </a:xfrm>
                    <a:prstGeom prst="rect"/>
                  </pic:spPr>
                </pic:pic>
              </a:graphicData>
            </a:graphic>
          </wp:inline>
        </w:drawing>
      </w:r>
    </w:p>
    <w:p>
      <w:pPr>
        <w:spacing w:line="240" w:lineRule="auto" w:before="0" w:after="0"/>
        <w:ind w:left="100" w:firstLine="719"/>
        <w:jc w:val="both"/>
      </w:pPr>
      <w:r>
        <w:rPr>
          <w:rFonts w:ascii="Times New Roman" w:hAnsi="Times New Roman"/>
          <w:sz w:val="24"/>
        </w:rPr>
        <w:t>La Tabla 4 resume las emisiones del manejo y la Figura 4 muestra la distribución de CH₄. Las contribuciones operativas de electricidad y diésel se incorporaron en el indicador de cambio climático, manteniendo separada su trazabilidad.</w:t>
      </w:r>
    </w:p>
    <w:p>
      <w:pPr>
        <w:pStyle w:val="Heading2"/>
      </w:pPr>
      <w:r>
        <w:rPr>
          <w:rFonts w:ascii="Times New Roman" w:hAnsi="Times New Roman"/>
          <w:color w:val="000000"/>
        </w:rPr>
        <w:t>5.3 Impactos por etapa y por escenario</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2630032"/>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2630032"/>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2630032"/>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2630032"/>
                    </a:xfrm>
                    <a:prstGeom prst="rect"/>
                  </pic:spPr>
                </pic:pic>
              </a:graphicData>
            </a:graphic>
          </wp:inline>
        </w:drawing>
      </w:r>
    </w:p>
    <w:p>
      <w:pPr>
        <w:spacing w:line="240" w:lineRule="auto" w:before="0" w:after="0"/>
        <w:ind w:left="100" w:firstLine="719"/>
        <w:jc w:val="both"/>
      </w:pPr>
      <w:r>
        <w:rPr>
          <w:rFonts w:ascii="Times New Roman" w:hAnsi="Times New Roman"/>
          <w:sz w:val="24"/>
        </w:rPr>
        <w:t>La Tabla 5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spacing w:line="240" w:lineRule="auto" w:before="0" w:after="0"/>
        <w:ind w:left="100" w:firstLine="719"/>
        <w:jc w:val="both"/>
      </w:pPr>
      <w:r>
        <w:rPr>
          <w:rFonts w:ascii="Times New Roman" w:hAnsi="Times New Roman"/>
          <w:sz w:val="24"/>
        </w:rPr>
        <w:t>La Tabla 6 presenta la magnitud anual y la Tabla 7 muestra los indicadores por unidad funcional. La Tabla 8 y la Figura 7 presentan la comparación entre escenarios bajo la misma base funcional.</w:t>
      </w:r>
    </w:p>
    <w:p>
      <w:pPr>
        <w:pStyle w:val="Heading2"/>
      </w:pPr>
      <w:r>
        <w:rPr>
          <w:rFonts w:ascii="Times New Roman" w:hAnsi="Times New Roman"/>
          <w:color w:val="000000"/>
        </w:rPr>
        <w:t>5.4 Contraste bibliográfico de A2</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t>La Tabla 9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húmedad,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respaldan la selección y la interpretación de los factores empleados. La revisión bibliográfica final deberá cotejar los datos editoriales pendientes del registro integral.</w:t>
      </w:r>
    </w:p>
    <w:p>
      <w:pPr>
        <w:pStyle w:val="Heading2"/>
      </w:pPr>
      <w:r>
        <w:rPr>
          <w:rFonts w:ascii="Times New Roman" w:hAnsi="Times New Roman"/>
          <w:color w:val="000000"/>
        </w:rPr>
        <w:t>6.3 Sensibilidad y consistencia</w:t>
      </w:r>
    </w:p>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10 documenta esta prueba de QA;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Antes de la versión final se requiere una evaluación acotada, de una variable por vez, sobre los supuestos que controlan las etapas dominantes y con intervalos respaldados por las fuentes vigentes. La consistencia debe verificarse además mediante cierre de balances, igualdad del flujo funcional, integridad temporal de la corrida y estabilidad de la dirección comparativa. La selección de intervalos se definirá después de M3 para evitar evaluar una caracterización experimental todavía provisional.</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proxy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Antón Vallejo, M. A. (2004). Utilización del Análisis del ciclo de vida en la evaluación del impacto ambiental del cultivo bajo invernadero mediterráneo [Tesis doctoral, Universitat Politècnica de Catalunya]. http://hdl.handle.net/2117/94137</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Cordero Jáuregui, R. (2013). Caracterización química del estiércol y su manejo en explotaciones de lechería familiar de los Altos de Jalisco [Tesis doctoral, Universidad de Guadalajara]. http://repositorio.cualtos.udg.mx:8080/jspui/handle/123456789/535</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Ecobilan Group. (1999). TEAM: Tools for Environmental Analysis and Management [Conjunto de datos]. http://ecobilan.pwc.fr/en/team.html</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w:t>
      </w:r>
    </w:p>
    <w:p>
      <w:pPr>
        <w:spacing w:line="240" w:lineRule="auto" w:before="0" w:after="0"/>
        <w:ind w:left="100" w:firstLine="719"/>
        <w:jc w:val="both"/>
      </w:pPr>
      <w:r>
        <w:rPr>
          <w:rFonts w:ascii="Times New Roman" w:hAnsi="Times New Roman"/>
          <w:sz w:val="24"/>
        </w:rPr>
        <w:t>European Commission, Joint Research Centre. (2022). Environmental Footprint 3.1 life cycle impact assessment method. European Commission.</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t>La Tabla 11 muestra cómo la metodología, los resultados y las conclusiones provisionales responden a los objetivos invariantes del estudio.</w:t>
      </w:r>
    </w:p>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ind w:left="0" w:firstLine="0"/>
      <w:jc w:val="center"/>
    </w:pPr>
    <w:rPr>
      <w:rFonts w:ascii="Times New Roman" w:hAnsi="Times New Roman"/>
      <w:sz w:val="24"/>
    </w:rPr>
  </w:style>
  <w:style w:type="paragraph" w:customStyle="1" w:styleId="Títulointegral">
    <w:name w:val="Título integral"/>
    <w:basedOn w:val="Portadacentrada"/>
    <w:pPr>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