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los Laboratorios de Servicios Analíticos de la Escuela de Química (LASA) de la Universidad de Costa Rica (UCR), para estiércol fresco, y el Laboratorio de Suelos y Foliares del Centro de Investigaciones Agronómicas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humedad y materia seca por gravimetría a 105 °C durante 16 h. El CIA determinó N y C del precompostado por Dumas sobre muestra seca o acondicionada a 80 °C durante 48 h. El porcentaje de N se combinó con la materia seca independiente de Bioenergía para construir la referencia de contraste en base húmeda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la misma secuencia de procesamiento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Según la taxonomía adoptada para este TFG, se clasificó como primaria la información obtenida específicamente mediante muestreo, medición, observación o registro directo. Los análisis de CIA y LASA conservaron esta condición cuando correspondieron a muestras del estudio, aunque se ejecutaran como servicio analítico externo. Los datos preexistentes, la literatura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pStyle w:val="Heading2"/>
      </w:pPr>
      <w:r>
        <w:rPr>
          <w:rFonts w:ascii="Times New Roman" w:hAnsi="Times New Roman"/>
          <w:color w:val="000000"/>
        </w:rPr>
        <w:t>4.5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4.5.1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(1)</w:t>
      </w:r>
    </w:p>
    <w:p>
      <w:pPr>
        <w:pStyle w:val="Heading3"/>
      </w:pPr>
      <w:r>
        <w:rPr>
          <w:rFonts w:ascii="Times New Roman" w:hAnsi="Times New Roman"/>
          <w:color w:val="000000"/>
        </w:rPr>
        <w:t>4.5.2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(5)</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(6)</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(7)</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(9)</w:t>
      </w:r>
    </w:p>
    <w:p>
      <w:pPr>
        <w:pStyle w:val="Heading3"/>
      </w:pPr>
      <w:r>
        <w:rPr>
          <w:rFonts w:ascii="Times New Roman" w:hAnsi="Times New Roman"/>
          <w:color w:val="000000"/>
        </w:rPr>
        <w:t>4.5.3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(10)</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(12)</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(13)</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(15)</w:t>
      </w:r>
    </w:p>
    <w:p>
      <w:pPr>
        <w:pStyle w:val="Heading2"/>
      </w:pPr>
      <w:r>
        <w:rPr>
          <w:rFonts w:ascii="Times New Roman" w:hAnsi="Times New Roman"/>
          <w:color w:val="000000"/>
        </w:rPr>
        <w:t>4.6 Evaluación de impactos y consumos operativos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(16)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La Tabla 4 documenta los factores visibles principales y la Figura 2 muestra la escala operacional de los flujos.</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4.7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5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6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7 presenta la magnitud anual y la Tabla 8 muestra los indicadores por unidad funcional. La Tabla 9 y la Figura 7 presentan la comparación entre escenarios bajo la misma base funcional.</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10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11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12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13 conserva la trazabilidad detallada por familia sin convertir los cálculos derivados en una nueva categoría de fuente.</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