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Resultados provisionales basados exclusivamente en las dos primeras campañas experimentales. La tercera campaña cuenta con trabajo experimental realizado y evidencia parcial, aún no validada para su integración.</w:t>
      </w:r>
    </w:p>
    <w:p>
      <w:pPr>
        <w:pStyle w:val="Portadacentrada"/>
        <w:keepNext/>
        <w:spacing w:before="400"/>
      </w:pPr>
      <w:r>
        <w:rPr>
          <w:rFonts w:ascii="Times New Roman" w:hAnsi="Times New Roman"/>
        </w:rPr>
        <w:t>Turrialba, Costa Rica</w:t>
        <w:br/>
        <w:t>Versión provisional actualizada en octubre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presenta resultados, discusión y conclusiones provisionales basados en la primera y la segunda campañas experimentales, designadas M1 y M2, respectivamente. La tercera campaña experimental (M3) cuenta con actividades de campo y laboratorio realizadas y evidencia gravimétrica parcial. El paquete analítico requerido todavía no está completo ni validado para su integración en el análisis de ciclo de vida; por ello, M3 no forma parte de los datos, parámetros, ecuaciones ni resultados presentados. Su incorporación futura puede modificar las magnitudes, comparaciones e interpretaciones.</w:t>
      </w:r>
    </w:p>
    <w:p>
      <w:pPr>
        <w:spacing w:line="240" w:lineRule="auto" w:before="0" w:after="0"/>
        <w:ind w:left="100" w:firstLine="719"/>
        <w:jc w:val="both"/>
      </w:pPr>
      <w:r>
        <w:rPr>
          <w:rFonts w:ascii="Times New Roman" w:hAnsi="Times New Roman"/>
          <w:sz w:val="24"/>
        </w:rPr>
        <w:t>El alcance provisional permite interpretar de forma conjunta la caracterización experimental, el inventario del ciclo de vida, las emisiones estimadas y los indicadores de impacto, sin atribuir carácter definitivo a la comparación entre alternativas.</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Correspondencia entre objetivos, resultados y conclusiones provisionales</w:t>
      </w:r>
    </w:p>
    <w:p>
      <w:pPr>
        <w:spacing w:line="240" w:lineRule="auto" w:before="0" w:after="0"/>
        <w:ind w:left="100" w:firstLine="719"/>
        <w:jc w:val="both"/>
      </w:pPr>
      <w:r>
        <w:rPr>
          <w:rFonts w:ascii="Times New Roman" w:hAnsi="Times New Roman"/>
          <w:sz w:val="24"/>
        </w:rPr>
        <w:t>Apéndice B. Matriz detallada de procedencia de los datos del inventario</w:t>
      </w:r>
    </w:p>
    <w:p>
      <w:pPr>
        <w:spacing w:line="240" w:lineRule="auto" w:before="0" w:after="0"/>
        <w:ind w:left="100" w:firstLine="719"/>
        <w:jc w:val="both"/>
      </w:pPr>
      <w:r>
        <w:rPr>
          <w:rFonts w:ascii="Times New Roman" w:hAnsi="Times New Roman"/>
          <w:sz w:val="24"/>
        </w:rPr>
        <w:t>Apéndice C. Matriz detallada de trazabilidad metodológica por etapa A1–B2</w:t>
      </w:r>
    </w:p>
    <w:p>
      <w:pPr>
        <w:spacing w:line="240" w:lineRule="auto" w:before="0" w:after="0"/>
        <w:ind w:left="100" w:firstLine="719"/>
        <w:jc w:val="both"/>
      </w:pPr>
      <w:r>
        <w:rPr>
          <w:rFonts w:ascii="Times New Roman" w:hAnsi="Times New Roman"/>
          <w:sz w:val="24"/>
        </w:rPr>
        <w:t>Apéndice D. Trazabilidad experimental de las campañas M1–M2</w:t>
      </w:r>
    </w:p>
    <w:p>
      <w:pPr>
        <w:spacing w:line="240" w:lineRule="auto" w:before="0" w:after="0"/>
        <w:ind w:left="100" w:firstLine="719"/>
        <w:jc w:val="both"/>
      </w:pPr>
      <w:r>
        <w:rPr>
          <w:rFonts w:ascii="Times New Roman" w:hAnsi="Times New Roman"/>
          <w:sz w:val="24"/>
        </w:rPr>
        <w:t>Apéndice E. Balances intermedios y emisiones desagregadas</w:t>
      </w:r>
    </w:p>
    <w:p>
      <w:pPr>
        <w:spacing w:line="240" w:lineRule="auto" w:before="0" w:after="0"/>
        <w:ind w:left="100" w:firstLine="719"/>
        <w:jc w:val="both"/>
      </w:pPr>
      <w:r>
        <w:rPr>
          <w:rFonts w:ascii="Times New Roman" w:hAnsi="Times New Roman"/>
          <w:sz w:val="24"/>
        </w:rPr>
        <w:t>Apéndice F. Trazabilidad de la verificación independiente Python–SimaPro</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influidas por factores como el cambio climático y el incremento de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parte, el lombricompostaje, así como otros procesos de compostaje, genera óxido nitroso, amoníaco y metano (IMN, 2021; Komakech et al., 2016). Por lo tanto, estas prácticas contribuyen a las emisiones globales de gases de efecto invernadero (GEI). Según el Instituto Meteorológico Nacional (IMN, 2021), las emisiones del sector agricultura en 2017 fueron de 2962,8 Gg de CO₂ eq, de las cuales el 7 % correspondió a la categoría denominada gestión del estiércol. En ese mismo año, la emisión de metano de esta categoría fue de 1,841 Gg de CH₄, de la cual el 11,6 % fue generado por el ganado de leche.</w:t>
      </w:r>
    </w:p>
    <w:p>
      <w:pPr>
        <w:spacing w:line="240" w:lineRule="auto" w:before="0" w:after="0"/>
        <w:ind w:left="100" w:firstLine="719"/>
        <w:jc w:val="both"/>
      </w:pPr>
      <w:r>
        <w:rPr>
          <w:rFonts w:ascii="Times New Roman" w:hAnsi="Times New Roman"/>
          <w:sz w:val="24"/>
        </w:rPr>
        <w:t>Por otra parte, la gestión inadecuada de estos residuos puede generar problemas ambientales, como la contaminación del suelo y de las aguas subterráneas. Además, puede causar eutrofización en cuerpos de agua debido al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tomar decisiones informadas, basadas en datos concretos, que ayuden a reducir los efectos negativos sobre el medio ambiente y la salud humana. Asimismo, es crucial fomentar alternativas para una gestión adecuada de los residuos y contribuir al cumplimiento de la Agenda 2030 y sus objetivos de desarrollo sostenible, entre ellos el 3, salud y bienestar; el 6, agua limpia y saneamiento; el 12, producción y consumo responsables; y el 13, acción por el clima.</w:t>
      </w:r>
    </w:p>
    <w:p>
      <w:pPr>
        <w:spacing w:line="240" w:lineRule="auto" w:before="0" w:after="0"/>
        <w:ind w:left="100" w:firstLine="719"/>
        <w:jc w:val="both"/>
      </w:pPr>
      <w:r>
        <w:rPr>
          <w:rFonts w:ascii="Times New Roman" w:hAnsi="Times New Roman"/>
          <w:sz w:val="24"/>
        </w:rPr>
        <w:t>Además de reducir el impacto ambiental, la producción sostenible en lecherías busca disminuir los costos de producción y aprovechar los recursos de manera eficiente, considerando que el 52 % de los costos de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los ejes económico, social y ambiental han mostrado resultados favorables en otras lecherías de la comunidad y permiten a los productores contribuir a la conservación de los ecosistemas y los recursos hídricos mediante el manejo integral de la cosecha, el suelo y los desechos. Se ha reportado una reducción del 50 % en la factura de fertilizantes como resultado del aprovechamiento de los residuos de la actividad productiva como fertilizantes orgánicos en las fincas (Fernández, 2014).</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orientadas a reducir el impacto ambiental. La mayor parte del estiércol generado durante las labores de ordeño se destina al lombricompostaje, como se describe en Vargas Sarmiento (2023). Una parte menor, generalmente estiércol líquido conocido como aguas verdes, se recolecta y acumula durante dos o tres días en un tanque para luego aplicarla en el campo como enmienda agrícola.</w:t>
      </w:r>
    </w:p>
    <w:p>
      <w:pPr>
        <w:spacing w:line="240" w:lineRule="auto" w:before="0" w:after="0"/>
        <w:ind w:left="100" w:firstLine="719"/>
        <w:jc w:val="both"/>
      </w:pPr>
      <w:r>
        <w:rPr>
          <w:rFonts w:ascii="Times New Roman" w:hAnsi="Times New Roman"/>
          <w:sz w:val="24"/>
        </w:rPr>
        <w:t>Sin embargo, no se dispone de datos sobre los GEI o los lixiviados emitidos por el procesamiento del estiércol bovino mediante lombricompostaje en la lechería de la Sede del Atlántico, ni por su almacenamiento y aplicación directa en los campos de pastoreo. Por ello, la lechería de la Sede del Atlántico, como finca modelo, debe generar información que permita conocer el impacto ambiental derivado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 manejo del estiércol en la lechería. El Escenario A representa la operación habitual y comprende A1: Precomposteo, A2: Lombricompostaje, A3: Almacenamiento de aguas verdes y A4: Aplicación de aguas verdes en campos de pastoreo. El Escenario B representa el manejo conjunto de los residuos líquidos y sólidos y comprende B1: Almacenamiento de purines y B2: Aplicación de purines en campo de pastoreo. Los códigos A1–A4 y B1–B2 identifican etapas productivas y no campañas experimentales.</w:t>
      </w:r>
    </w:p>
    <w:p>
      <w:pPr>
        <w:spacing w:line="240" w:lineRule="auto" w:before="0" w:after="0"/>
        <w:ind w:left="100" w:firstLine="719"/>
        <w:jc w:val="both"/>
      </w:pPr>
      <w:r>
        <w:rPr>
          <w:rFonts w:ascii="Times New Roman" w:hAnsi="Times New Roman"/>
          <w:sz w:val="24"/>
        </w:rPr>
        <w:t>La evaluación abarcó cambio climático, eutrofización terrestre y eutrofización marina. La evidencia experimental se organizó por campañas de muestreo: M1 corresponde a la primera campaña y M2 a la segunda; ambas sustentan los resultados provisionales. M3 corresponde a la tercera campaña, con trabajo experimental realizado y evidencia parcial disponible; sus fuentes analíticas todavía no están completas ni validadas para integrarlas al ACV. Por tanto, los resultados actuales corresponden exclusivamente a M1 y 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ellos destacan las condiciones del alojamiento, como la superficie disponible por animal y el ancho y diseño de los pasillos; el tipo de animal, por ejemplo, vaca lechera, novilla o ganado de engorde; y la composición de la dieta, con predominio de ensilado de maíz, hierba o heno. Otros factores son la cantidad y calidad del material absorbente utilizado en las camas, la frecuencia y el método de encamado, la regularidad de la limpieza y la disponibilidad de mano de obra. Estos aspectos influyen directamente en la consistencia y fluidez de las excretas y, por tanto, en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materia seca (MS). Se reconocen tres categorías: sólidas (más del 20 % de MS), semisólidas (10–22 % de MS) y líquidas o semilíquidas (0–15 % de MS). Los residuos sólidos pueden almacenarse en pilas y manipularse con un cargador frontal de tractor. Los residuos líquidos requieren bombas de succión o la adición de material absorbente para facilitar su manejo. Por su parte, los residuos semisólidos presentan variabilidad según el tipo de sólidos y su rango de MS (10–20 %), por lo que el porcentaje de MS no determina de manera uniforme sus propiedades de manejo.</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consiste en la biodegradación de residuos orgánicos mediante lombrices y microorganismos, se ha identificado como una tecnología efectiva y relativamente económica para el manejo del estiércol bovino. Esta técnica también se considera un proceso bioecológicamente sostenible, ya que produce recursos biológicos renovables con valor agregado. De este modo se generan tanto lombricompost,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 en Costa Rica se ha utilizado durante varios años la práctica de aplicar purines a los campos de pastoreo. Estos pueden incluir estiércol, aguas de lavado, agua de lluvia, restos de alimento balanceado y desechos de cama, entre otros (IMN, 2021). Rojas y Elizondo (2020) describieron esta práctica como una alternativa ecológica a la aplicación de fertilizantes químicos para aportar nutrientes a los forrajes destinados a la alimentación animal. Los purines pueden aplicarse manualmente con palas y cubetas o mediante una bomba de aspersión; la elección depende de las condiciones específicas de manejo del estiércol en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desde la obtención de materias primas, su producción y uso hasta el manejo de los residuos. Aunque enfrenta limitaciones, como dificultades de interpretación pese al marco general establecido por la Organización Internacional de Normalización (ISO), su capacidad para ofrecer una visión global lo hace útil para la gestión ambiental (Curran, 2013).</w:t>
      </w:r>
    </w:p>
    <w:p>
      <w:pPr>
        <w:spacing w:line="240" w:lineRule="auto" w:before="0" w:after="0"/>
        <w:ind w:left="100" w:firstLine="719"/>
        <w:jc w:val="both"/>
      </w:pPr>
      <w:r>
        <w:rPr>
          <w:rFonts w:ascii="Times New Roman" w:hAnsi="Times New Roman"/>
          <w:sz w:val="24"/>
        </w:rPr>
        <w:t>Una de las perspectivas utilizadas en el ACV es la de «cuna a tumba», que evalúa los sistemas desde la extracción de materias primas hasta la creación del producto y el retorno final de los materiales al entorno. Este análisis considera interdependiente cada etapa de la vida de un producto, de modo que una operación afecta a la siguiente. El ACV permite estimar impactos ambientales acumulativos y abarca etapas que suelen omitirse en análisis tradicionales, como la extracción de materias primas, el transporte y la eliminación del producto. Al considerar el ciclo de vida completo, ofrece una visión detallada de los aspectos ambientales y una comprensión más precisa de las compensaciones asociadas con la selección de productos y procesos (Curran, 2006).</w:t>
      </w:r>
    </w:p>
    <w:p>
      <w:pPr>
        <w:spacing w:line="240" w:lineRule="auto" w:before="0" w:after="0"/>
        <w:ind w:left="100" w:firstLine="719"/>
        <w:jc w:val="both"/>
      </w:pPr>
      <w:r>
        <w:rPr>
          <w:rFonts w:ascii="Times New Roman" w:hAnsi="Times New Roman"/>
          <w:sz w:val="24"/>
        </w:rPr>
        <w:t>La metodología de ACV para sistemas de gestión de residuos, conforme a la norma ISO 14040 (International Organization for Standardization, 2006), comprende cuatro fases interrelacionadas. La primera es la definición clara del objetivo y el alcance del estudio, que incluye la selección de una unidad funcional, entendida como una descripción cuantificada del desempeño del sistema de producto. En esta fase se identifican los escenarios que se compararán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elabora un inventario de entradas y salidas de energía y materiales, así como de emisiones al ambiente, mediante el análisis del Inventario del Ciclo de Vida (ICV). Esto abarca actividades como la extracción de materias primas, el transporte, el procesamiento y la disposición de residuos, junto con los insumos de energía y materiales involucrados. El análisis de ICV depende de factores como el tipo y la cantidad de recursos naturales utilizados, los materiales empleados en la fabricación, los modos de transporte, el uso del producto a lo largo de su vida útil y su método final de eliminación. La influencia de estos elementos puede variar según la región: un área puede carecer de recursos para fabricar un producto específico, mientras otra puede emplear tecnologías distintas o depender en mayor medida de fuentes renovables o de combustibles fósiles. Estas diferencias regionales pueden influir en los supuestos y restricciones necesarios del estudio de ACV (Curran, 2006).</w:t>
      </w:r>
    </w:p>
    <w:p>
      <w:pPr>
        <w:spacing w:line="240" w:lineRule="auto" w:before="0" w:after="0"/>
        <w:ind w:left="100" w:firstLine="719"/>
        <w:jc w:val="both"/>
      </w:pPr>
      <w:r>
        <w:rPr>
          <w:rFonts w:ascii="Times New Roman" w:hAnsi="Times New Roman"/>
          <w:sz w:val="24"/>
        </w:rPr>
        <w:t>La tercera fase es la Evaluación del Impacto del Ciclo de Vida (EICV), en la cual se estiman los impactos ambientales potenciales asociados con las entradas y emisiones identificadas. Esta fase analiza la relevancia de factores como las emisiones de gases de efecto invernadero, el consumo de energía, el uso de agua y la generación de residuos (Macktoobian, 2024).</w:t>
      </w:r>
    </w:p>
    <w:p>
      <w:pPr>
        <w:spacing w:line="240" w:lineRule="auto" w:before="0" w:after="0"/>
        <w:ind w:left="100" w:firstLine="719"/>
        <w:jc w:val="both"/>
      </w:pPr>
      <w:r>
        <w:rPr>
          <w:rFonts w:ascii="Times New Roman" w:hAnsi="Times New Roman"/>
          <w:sz w:val="24"/>
        </w:rPr>
        <w:t>De acuerdo con Macktoobian (2024), los indicadores se obtienen mediante una serie de pasos sugeridos por las normas ISO, algunos obligatorios y otros opcionales. Los pasos obligatorios incluyen la definición y clasificación de categorías de impacto y la caracterización; entre los opcionales se encuentran la normalización y la ponderación. Las categorías se seleccionan para representar los efectos de las emisiones y del consumo de recursos naturales durante la producción, el uso y la disposición del proceso evaluado. En la mayoría de las metodologías de EICV, estos flujos se relacionan con tres áreas principales de protección: la calidad del ecosistema, la salud humana y los recursos naturales. Estas áreas se vinculan con indicadores de punto medio y de punto final.</w:t>
      </w:r>
    </w:p>
    <w:p>
      <w:pPr>
        <w:spacing w:line="240" w:lineRule="auto" w:before="0" w:after="0"/>
        <w:ind w:left="100" w:firstLine="719"/>
        <w:jc w:val="both"/>
      </w:pPr>
      <w:r>
        <w:rPr>
          <w:rFonts w:ascii="Times New Roman" w:hAnsi="Times New Roman"/>
          <w:sz w:val="24"/>
        </w:rPr>
        <w:t>La cuarta fase corresponde a la interpretación de los resultados y facilita una toma de decisiones más informada por parte de los interesados. Puede incluir la comparación del desempeño ambiental de distintos sistemas de gestión de residuos y la identificación de oportunidades de mejora. El análisis de sensibilidad permite evaluar si las incertidumbres de los datos o de los métodos seleccionados afectan los resultados y las conclusiones, con el propósito de aumentar la confianza en su correspondencia con el objetivo del estudio. Puede realizarse mediante escenarios hipotéticos que modifican sistemáticamente parámetros de entrada o mediante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Su exhaustividad depende de las decisiones del estudio; sin embargo, la recolección y la disponibilidad de datos pueden representar un desafío e influir considerablemente en la precisión de los resultados. Por ello, es esencial considerar la disponibilidad de datos, la duración del estudio y los recursos financieros en relación con los beneficios esperados.</w:t>
      </w:r>
    </w:p>
    <w:p>
      <w:pPr>
        <w:pStyle w:val="Heading2"/>
      </w:pPr>
      <w:r>
        <w:rPr>
          <w:rFonts w:ascii="Times New Roman" w:hAnsi="Times New Roman"/>
          <w:color w:val="000000"/>
        </w:rPr>
        <w:t>2.4 Modelado de emisiones del manejo del estiércol</w:t>
      </w:r>
    </w:p>
    <w:p>
      <w:pPr>
        <w:spacing w:line="240" w:lineRule="auto" w:before="0" w:after="0"/>
        <w:ind w:left="100" w:firstLine="719"/>
        <w:jc w:val="both"/>
      </w:pPr>
      <w:r>
        <w:rPr>
          <w:rFonts w:ascii="Times New Roman" w:hAnsi="Times New Roman"/>
          <w:sz w:val="24"/>
        </w:rPr>
        <w:t>En este TFG se distinguen tres niveles que no deben confundirse. El inventario reúne datos de actividad, como masas de material, contenido de sólidos volátiles, N total, nitrógeno amoniacal total, electricidad y diésel. El modelado de emisiones relaciona esos datos con factores y aproximaciones metodológicas para estimar flujos elementales hacia el aire, el agua o el suelo. La evaluación de impactos se realiza después, al caracterizar los flujos elementales obtenidos. Por tanto, un factor de emisión no es una medición directa de la finca y un factor de caracterización no genera por sí mismo una emisión.</w:t>
      </w:r>
    </w:p>
    <w:p>
      <w:pPr>
        <w:pStyle w:val="Heading3"/>
      </w:pPr>
      <w:r>
        <w:rPr>
          <w:rFonts w:ascii="Times New Roman" w:hAnsi="Times New Roman"/>
          <w:color w:val="000000"/>
        </w:rPr>
        <w:t>2.4.1 Directrices para inventarios de gases de efecto invernadero</w:t>
      </w:r>
    </w:p>
    <w:p>
      <w:pPr>
        <w:spacing w:line="240" w:lineRule="auto" w:before="0" w:after="0"/>
        <w:ind w:left="100" w:firstLine="719"/>
        <w:jc w:val="both"/>
      </w:pPr>
      <w:r>
        <w:rPr>
          <w:rFonts w:ascii="Times New Roman" w:hAnsi="Times New Roman"/>
          <w:sz w:val="24"/>
        </w:rPr>
        <w:t>El Refinamiento de 2019 de las Directrices de 2006 del Grupo Intergubernamental de Expertos sobre el Cambio Climático (IPCC, por sus siglas en inglés) se adoptó porque actualiza el marco internacional para inventarios de gases de efecto invernadero y contiene métodos aplicables al manejo de estiércol y a las entradas orgánicas en suelos gestionados (IPCC, 2019). En las etapas de manejo A1, A2, A3 y B1, este marco permite estimar CH₄ y N₂O directo; en A4 y B2 permite representar el N₂O directo del suelo y las rutas indirectas asociadas con volatilización y con lixiviación o escorrentía. Estas estimaciones forman parte del inventario de emisiones y anteceden a la evaluación de impactos.</w:t>
      </w:r>
    </w:p>
    <w:p>
      <w:pPr>
        <w:spacing w:line="240" w:lineRule="auto" w:before="0" w:after="0"/>
        <w:ind w:left="100" w:firstLine="719"/>
        <w:jc w:val="both"/>
      </w:pPr>
      <w:r>
        <w:rPr>
          <w:rFonts w:ascii="Times New Roman" w:hAnsi="Times New Roman"/>
          <w:sz w:val="24"/>
        </w:rPr>
        <w:t>Para CH₄, B₀ expresa la capacidad máxima de producción de metano de los sólidos volátiles; el factor de conversión de metano (MCF, por sus siglas en inglés) representa la fracción de ese potencial que se alcanza bajo el sistema de manejo y las condiciones climáticas consideradas; y la fracción asignada al sistema de manejo de desechos animales (AWMS, por sus siglas en inglés) representa la parte de la corriente ya asignada que se maneja mediante el sistema correspondiente. La masa manejada y su fracción de sólidos volátiles son datos de actividad, mientras que B₀, MCF y AWMS cumplen una función metodológica. Estos factores no constituyen mediciones directas de la lechería.</w:t>
      </w:r>
    </w:p>
    <w:p>
      <w:pPr>
        <w:spacing w:line="240" w:lineRule="auto" w:before="0" w:after="0"/>
        <w:ind w:left="100" w:firstLine="719"/>
        <w:jc w:val="both"/>
      </w:pPr>
      <w:r>
        <w:rPr>
          <w:rFonts w:ascii="Times New Roman" w:hAnsi="Times New Roman"/>
          <w:sz w:val="24"/>
        </w:rPr>
        <w:t>Para las rutas de N, EF₃ relaciona el N que ingresa al sistema de manejo con el N₂O-N directo; EF₁ cumple la función equivalente para entradas orgánicas al suelo; EF₄ transforma en N₂O-N indirecto la deposición derivada de las pérdidas explícitas de NH₃-N y NOx-N; y EF₅ se aplica al N perdido por lixiviación o escorrentía. FracLEACH representa la fracción de N que sigue la ruta hídrica una vez que el N ha llegado al suelo. Las fracciones específicas de drenaje del manejo se mantienen separadas de esta última ruta. Así, los factores describen fenómenos y bases de actividad diferentes y se aplican únicamente en las etapas donde la ruta física está representada.</w:t>
      </w:r>
    </w:p>
    <w:p>
      <w:pPr>
        <w:pStyle w:val="Heading3"/>
      </w:pPr>
      <w:r>
        <w:rPr>
          <w:rFonts w:ascii="Times New Roman" w:hAnsi="Times New Roman"/>
          <w:color w:val="000000"/>
        </w:rPr>
        <w:t>2.4.2 Emisiones de N reactivo y guía europea de inventarios atmosféricos</w:t>
      </w:r>
    </w:p>
    <w:p>
      <w:pPr>
        <w:spacing w:line="240" w:lineRule="auto" w:before="0" w:after="0"/>
        <w:ind w:left="100" w:firstLine="719"/>
        <w:jc w:val="both"/>
      </w:pPr>
      <w:r>
        <w:rPr>
          <w:rFonts w:ascii="Times New Roman" w:hAnsi="Times New Roman"/>
          <w:sz w:val="24"/>
        </w:rPr>
        <w:t>El marco del IPCC se complementó con la Guía de inventarios de emisiones atmosféricas 2023 del Programa cooperativo de seguimiento y evaluación del transporte a larga distancia de contaminantes atmosféricos en Europa (EMEP) y la Agencia Europea de Medio Ambiente (EEA, por sus siglas en inglés) para representar rutas de N reactivo que el modelo vigente calcula de forma explícita (European Environment Agency, 2023). Esta guía conjunta no sustituye al IPCC: aporta factores de NH₃-N, NO-N o NOx-N y N₂-N, además de la mineralización previa del N orgánico en el almacenamiento líquido, mientras el IPCC conserva las rutas de CH₄, N₂O directo e indirecto y las pérdidas hídricas que le corresponden.</w:t>
      </w:r>
    </w:p>
    <w:p>
      <w:pPr>
        <w:spacing w:line="240" w:lineRule="auto" w:before="0" w:after="0"/>
        <w:ind w:left="100" w:firstLine="719"/>
        <w:jc w:val="both"/>
      </w:pPr>
      <w:r>
        <w:rPr>
          <w:rFonts w:ascii="Times New Roman" w:hAnsi="Times New Roman"/>
          <w:sz w:val="24"/>
        </w:rPr>
        <w:t>El nitrógeno amoniacal total constituye la base de actividad para las pérdidas atmosféricas de almacenamiento y manejo cuando así lo establece EMEP/EEA. La volatilización de NH₃ puede comenzar desde la excreción y continuar durante el almacenamiento y tratamiento del estiércol; una vez emitido, el NH₃ participa en procesos de transporte y deposición atmosférica (Asman et al., 1998; Monteny y Erisman, 1998). En A1 se utilizan relaciones para almacenamiento sólido; en A3 y B1 se representan el almacenamiento líquido y la mineralización previa; y en A4 y B2 se distinguen los factores propios de aplicación al suelo. Las masas explícitas de NH₃-N y NOx-N alimentan después la ruta indirecta de N₂O del IPCC mediante EF₄. El N₂ se conserva como pérdida física del balance de N, pero no recibe caracterización ambiental en las categorías evaluadas.</w:t>
      </w:r>
    </w:p>
    <w:p>
      <w:pPr>
        <w:spacing w:line="240" w:lineRule="auto" w:before="0" w:after="0"/>
        <w:ind w:left="100" w:firstLine="719"/>
        <w:jc w:val="both"/>
      </w:pPr>
      <w:r>
        <w:rPr>
          <w:rFonts w:ascii="Times New Roman" w:hAnsi="Times New Roman"/>
          <w:sz w:val="24"/>
        </w:rPr>
        <w:t>A2 constituye una excepción acotada. Komakech et al. (2016) aporta la aproximación experimental adoptada para estimar NH₃ a partir de la masa húmeda de residuo que ingresa a la etapa. Esta relación no sustituye las aproximaciones EMEP/EEA utilizadas para NO y N₂, no se extiende a otras rutas o etapas y no reinicializa las reservas propagadas de N total y nitrógeno amoniacal total.</w:t>
      </w:r>
    </w:p>
    <w:p>
      <w:pPr>
        <w:pStyle w:val="Heading2"/>
      </w:pPr>
      <w:r>
        <w:rPr>
          <w:rFonts w:ascii="Times New Roman" w:hAnsi="Times New Roman"/>
          <w:color w:val="000000"/>
        </w:rPr>
        <w:t>2.5 Evaluación de impactos y factores nacionales</w:t>
      </w:r>
    </w:p>
    <w:p>
      <w:pPr>
        <w:pStyle w:val="Heading3"/>
      </w:pPr>
      <w:r>
        <w:rPr>
          <w:rFonts w:ascii="Times New Roman" w:hAnsi="Times New Roman"/>
          <w:color w:val="000000"/>
        </w:rPr>
        <w:t>2.5.1 Método de Huella Ambiental 3.1</w:t>
      </w:r>
    </w:p>
    <w:p>
      <w:pPr>
        <w:spacing w:line="240" w:lineRule="auto" w:before="0" w:after="0"/>
        <w:ind w:left="100" w:firstLine="719"/>
        <w:jc w:val="both"/>
      </w:pPr>
      <w:r>
        <w:rPr>
          <w:rFonts w:ascii="Times New Roman" w:hAnsi="Times New Roman"/>
          <w:sz w:val="24"/>
        </w:rPr>
        <w:t>El método de Huella Ambiental 3.1 (EF 3.1, por sus siglas en inglés) pertenece a la fase de Evaluación del Impacto del Ciclo de Vida. Su función es aplicar factores de caracterización que relacionan la masa de cada flujo elemental, su compartimento ambiental y una categoría de impacto con un indicador común (Andreasi Bassi et al., 2023). En este TFG se utilizan únicamente cambio climático, eutrofización terrestre y eutrofización marina, expresadas respectivamente en kg CO₂-eq, mol N-eq y kg N-eq. El potencial de calentamiento global (PCG) expresa, en una base común de CO₂ equivalente, la contribución relativa de los gases de efecto invernadero al cambio climático durante el horizonte temporal definido por el método.</w:t>
      </w:r>
    </w:p>
    <w:p>
      <w:pPr>
        <w:spacing w:line="240" w:lineRule="auto" w:before="0" w:after="0"/>
        <w:ind w:left="100" w:firstLine="719"/>
        <w:jc w:val="both"/>
      </w:pPr>
      <w:r>
        <w:rPr>
          <w:rFonts w:ascii="Times New Roman" w:hAnsi="Times New Roman"/>
          <w:sz w:val="24"/>
        </w:rPr>
        <w:t>La secuencia conceptual es flujo elemental por factor de caracterización igual a contribución a la categoría de impacto. Emitir una masa de CH₄, N₂O, NH₃, NOx o NO₃⁻ pertenece al inventario modelado; convertirla en una contribución potencial a cambio climático o eutrofización pertenece a la caracterización. EF 3.1 no estima ni genera las emisiones. Esta relación se implementó de forma reproducible en Python a partir de la identidad del flujo, el compartimento y la categoría; SimaPro se delimitó como herramienta de verificación independiente y no como fuente sustitutiva del inventario o de los resultados calculados en Python.</w:t>
      </w:r>
    </w:p>
    <w:p>
      <w:pPr>
        <w:pStyle w:val="Heading3"/>
      </w:pPr>
      <w:r>
        <w:rPr>
          <w:rFonts w:ascii="Times New Roman" w:hAnsi="Times New Roman"/>
          <w:color w:val="000000"/>
        </w:rPr>
        <w:t>2.5.2 Factores oficiales nacionales para recursos operativos</w:t>
      </w:r>
    </w:p>
    <w:p>
      <w:pPr>
        <w:spacing w:line="240" w:lineRule="auto" w:before="0" w:after="0"/>
        <w:ind w:left="100" w:firstLine="719"/>
        <w:jc w:val="both"/>
      </w:pPr>
      <w:r>
        <w:rPr>
          <w:rFonts w:ascii="Times New Roman" w:hAnsi="Times New Roman"/>
          <w:sz w:val="24"/>
        </w:rPr>
        <w:t>Los factores oficiales del Instituto Meteorológico Nacional permiten representar los consumos energéticos con información nacional pertinente para Costa Rica (IMN, 2026). Su función depende del recurso. Para la electricidad se utiliza un factor agregado de consumo que entrega directamente una contribución de cambio climático y no se vuelve a caracterizar con EF 3.1. Para el diésel se emplean factores físicos de combustión que convierten el volumen consumido en masas de CO₂ fósil, CH₄ fósil y N₂O; estas emisiones elementales sí se caracterizan posteriormente con EF 3.1. La separación evita recaracterizar la electricidad o mezclar factores nacionales de inventario con factores de evaluación de impacto.</w:t>
      </w:r>
    </w:p>
    <w:p>
      <w:pPr>
        <w:pStyle w:val="Heading2"/>
      </w:pPr>
      <w:r>
        <w:rPr>
          <w:rFonts w:ascii="Times New Roman" w:hAnsi="Times New Roman"/>
          <w:color w:val="000000"/>
        </w:rPr>
        <w:t>2.6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efectos ambientales favorables (Lim et al., 2016). Mediante un ACV aplicado al manejo de residuos municipales, Komakech et al. (2015) concluyeron que un sistema de digestión anaeróbica (DA) presentó mejor desempeño que el compostaje. En comparación con el lombricompostaje, la digestión anaerobia mostró diferencias de 104 kWh/t, 28,6 kg CO₂-eq/t y 126,4 g PO₄³⁻-eq/t en uso de energía, cambio climático y eutrofización, respectivamente. No obstante, los sistemas de compostaje son más sencillos de implementar y, en cambio climático, el lombricompostaje supera al depósito en rellenos sanitarios. Además, su manejo eficiente puede reducir las emisiones y mejorar el desempeño climático.</w:t>
      </w:r>
    </w:p>
    <w:p>
      <w:pPr>
        <w:spacing w:line="240" w:lineRule="auto" w:before="0" w:after="0"/>
        <w:ind w:left="100" w:firstLine="719"/>
        <w:jc w:val="both"/>
      </w:pPr>
      <w:r>
        <w:rPr>
          <w:rFonts w:ascii="Times New Roman" w:hAnsi="Times New Roman"/>
          <w:sz w:val="24"/>
        </w:rPr>
        <w:t>Macktoobian (2024) realizó un ACV detallado del lombricompostaje de residuos orgánicos municipales, con una unidad funcional de 1 kg de lombricompost, datos de la base Ecoinvent y el método ReCiPe. El estudio cuantificó las contribuciones al cambio climático, la eutrofización de agua dulce y la eutrofización marina. El proceso produjo 0,10999 kg CO₂-eq para cambio climático, 1,18 × 10⁻⁸ kg P-eq para eutrofización de agua dulce y 2,17 × 10⁻⁹ kg N-eq para eutrofización marina. Los resultados resaltaron el potencial del lombricompost como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resume la literatura reciente sobre ACV aplicada a sistemas de gestión de estiércol bovino que incluyen almacenamiento de purines, aplicación en campo como enmienda agrícola o lombricompostaje. Para los estudios revisados se identificaron la meta y el alcance, la unidad funcional, las fronteras del sistema, el inventario, la evaluación de impactos y los resultados más relevantes.</w:t>
      </w:r>
    </w:p>
    <w:p>
      <w:pPr>
        <w:spacing w:line="240" w:lineRule="auto" w:before="0" w:after="0"/>
        <w:ind w:left="100" w:firstLine="719"/>
        <w:jc w:val="both"/>
      </w:pPr>
      <w:r>
        <w:rPr>
          <w:rFonts w:ascii="Times New Roman" w:hAnsi="Times New Roman"/>
          <w:sz w:val="24"/>
        </w:rPr>
        <w:t>Komakech et al. (2016) evaluaron un sistema de manejo de excretas mediante lombricompostaje en Kampala, Uganda, y lo compararon con dos escenarios: la práctica habitual de desechar las excretas a cielo abierto y su utilización como fertilizante en jardines. Se consideraron el cambio climático y la eutrofización. La unidad funcional fue una tonelada de residuos animales libres de impurezas, procesada para generar un fertilizante de alta calidad. El alcance comenzó con la recepción de los residuos y concluyó con la aplicación del fertilizante en el campo. Para el inventario se cuantificaron los insumos de materiales y energía, así como las emisiones y los productos generados en cada etapa y sistema, mediante datos de mediciones y literatura especializada.</w:t>
      </w:r>
    </w:p>
    <w:p>
      <w:pPr>
        <w:spacing w:line="240" w:lineRule="auto" w:before="0" w:after="0"/>
        <w:ind w:left="100" w:firstLine="719"/>
        <w:jc w:val="both"/>
      </w:pPr>
      <w:r>
        <w:rPr>
          <w:rFonts w:ascii="Times New Roman" w:hAnsi="Times New Roman"/>
          <w:sz w:val="24"/>
        </w:rPr>
        <w:t>La evaluación de impactos estimó el cambio climático y la eutrofización de cada sistema. Los factores de emisión directa del lombricompostaje fueron 10,8 g, 62,3 g y 12,8 g por megagramo de residuos orgánicos para metano, óxido nitroso y amoníaco, respectivamente. El sistema mostró un desempeño favorable en cambio climático y eutrofización; sin embargo, la disposición inadecuada del lombricompost generado podría aumentar el riesgo de eutrofización.</w:t>
      </w:r>
    </w:p>
    <w:p>
      <w:pPr>
        <w:spacing w:line="240" w:lineRule="auto" w:before="0" w:after="0"/>
        <w:ind w:left="100" w:firstLine="719"/>
        <w:jc w:val="both"/>
      </w:pPr>
      <w:r>
        <w:rPr>
          <w:rFonts w:ascii="Times New Roman" w:hAnsi="Times New Roman"/>
          <w:sz w:val="24"/>
        </w:rPr>
        <w:t>Komakech et al. (2016) analizaron las emisiones gaseosas directas de CH₄, N₂O y NH₃ de sistemas de lombricompostaje con estiércol bovino como sustrato. Sin embargo, las emisiones se midieron una sola vez durante un ciclo completo, por lo que no se obtuvo información sobre su variación entre etapas.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El resumen de Jjagwe et al. (2019) imprime emisiones acumuladas de 102 g CO₂/kg de residuo, 7,6 g CH₄/kg de residuo y 3,943 × 10⁻⁵ g N₂O/kg de residuo en base seca, además de indicar que no se detectó NH₃. La cifra impresa de N₂O no coincide con la escala presentada en los resultados del artículo; por ello, el contraste de este TFG conserva el valor aprobado de 39,43 mg N₂O/kg y documenta la discrepancia en la sección de resultados, sin tratarla como una validación del modelo. En comparación con otros métodos de manejo, el lombricompostaje mostró potencial para conservar nutrientes y reducir emisiones de gases de efecto invernadero. Estos resultados son relevantes porque los datos de emisiones y distribución de nutrientes pueden ser útiles para gestores de residuos, especialistas ambientales y responsables de políticas públicas, así como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630 m s. n. m., en las coordenadas 9°54'12,5" N y 83°40'16,6" O del sistema WGS84. Para la región de Turrialba, Calderón y Chaves (2020) informaron una precipitación total anual promedio de 2.375,6 mm y, en los meses más cálidos, promedios mensuales de temperatura máxima entre 28,2 °C y 28,5 °C. La lechería funcionó como un proyecto de vinculación remunerada externa, dedicado a la producción y venta de leche para fortalecer la investigación y la transferencia tecnológica dirigida a productores de Turrialba y Jiménez. La producción se realizó con semovientes de raza Jersey adaptados a las condiciones tropicales de bajura.</w:t>
      </w:r>
    </w:p>
    <w:p>
      <w:pPr>
        <w:spacing w:line="240" w:lineRule="auto" w:before="0" w:after="0"/>
        <w:ind w:left="100" w:firstLine="719"/>
        <w:jc w:val="both"/>
      </w:pPr>
      <w:r>
        <w:rPr>
          <w:rFonts w:ascii="Times New Roman" w:hAnsi="Times New Roman"/>
          <w:sz w:val="24"/>
        </w:rPr>
        <w:t>El procesamiento estudiado correspondió al estiércol del ganado bovino, manejado mediante lombricompostaje y mediante la producción de aguas verdes para su aplicación en campos de pastoreo. Vargas Sarmiento (2023) describió previamente la operación y otros detalles del lombricario en pilas. El área funcional total fue de 156 m², distribuida entre precomposteo, camas y secado, con superficies de 15 m², 60 m² y 81 m², respectivamente. El piso del área y las paredes de las camas se construyeron con cemento y mampostería de bloques de 12 × 20 × 40 cm, respectivamente. La sección de precomposteo midió 10,3 m de largo, 0,64 m de ancho y 1,7 m de profundidad, con un volumen de 11,25 m³. Las camas tuvieron una longitud total de 21,5 m, un ancho de 1,62 m y una profundidad de 0,425 m; se dividieron en cinco unidades, una de ellas con la mitad del ancho indicado, y alcanzaron un volumen total de 13,3 m³.</w:t>
      </w:r>
    </w:p>
    <w:p>
      <w:pPr>
        <w:spacing w:line="240" w:lineRule="auto" w:before="0" w:after="0"/>
        <w:ind w:left="100" w:firstLine="719"/>
        <w:jc w:val="both"/>
      </w:pPr>
      <w:r>
        <w:rPr>
          <w:rFonts w:ascii="Times New Roman" w:hAnsi="Times New Roman"/>
          <w:sz w:val="24"/>
        </w:rPr>
        <w:t>La recolección de residuos se realizó durante la limpieza del área de estancia donde los bovinos esperaban recibir los cuidados rutinarios. Los residuos sólidos se recolectaron manualmente con palas y se transportaron en cubetas hacia la zona de precomposteo. El material remanente, principalmente líquido, se incorporó al agua utilizada para lavar el piso y formó las aguas verdes. Estas fluyeron por gravedad a través del drenaje y se acumularon en una tanqueta, donde permanecieron durante dos o tres días.</w:t>
      </w:r>
    </w:p>
    <w:p>
      <w:pPr>
        <w:spacing w:line="240" w:lineRule="auto" w:before="0" w:after="0"/>
        <w:ind w:left="100" w:firstLine="719"/>
        <w:jc w:val="both"/>
      </w:pPr>
      <w:r>
        <w:rPr>
          <w:rFonts w:ascii="Times New Roman" w:hAnsi="Times New Roman"/>
          <w:sz w:val="24"/>
        </w:rPr>
        <w:t>La descripción del sistema se sustentó en observaciones de campo, consultas operativas presenciales y datos publicados para la misma lechería por Sánchez-Romero y Brenes-Gamboa (2026). Cada parámetro conservó la procedencia correspondiente y no se atribuyeron a la publicación las estimaciones comunicadas o los supuestos del estudio.</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aproximadamente 26 278,7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La duración habitual de A1 fue comunicada como una estimación operativa de aproximadamente 21 días a cerca de un mes; por ello, se representa como tres a cuatro semanas sin tratar 28 días como una medición instrumentada.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 referencia respalda la duración de A2, pero no se utilizó como confirmación inequívoca del tiempo operativo de A1. Las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representa las fronteras y conexiones físicas de las alternativas evaluadas.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keepLines/>
      </w:pPr>
      <w:r>
        <w:rPr>
          <w:rFonts w:ascii="Times New Roman" w:hAnsi="Times New Roman"/>
          <w:b/>
          <w:color w:val="000000"/>
        </w:rPr>
        <w:t>Figura 1</w:t>
      </w:r>
    </w:p>
    <w:p>
      <w:pPr>
        <w:pStyle w:val="Descripciónacadémica"/>
        <w:keepNext/>
        <w:keepLines/>
      </w:pPr>
      <w:r>
        <w:rPr>
          <w:rFonts w:ascii="Times New Roman" w:hAnsi="Times New Roman"/>
          <w:i/>
          <w:color w:val="000000"/>
        </w:rPr>
        <w:t>Fronteras y conexiones físicas de los escenarios evaluados.</w:t>
      </w:r>
    </w:p>
    <w:p>
      <w:pPr>
        <w:keepLines/>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sintetiza la jerarquía de etapas presentada en la introducción y utilizada en todo el manuscrito. En los gráficos por etapa se emplean las claves A1–A4 y B1–B2.</w:t>
      </w:r>
    </w:p>
    <w:p>
      <w:pPr>
        <w:pStyle w:val="Rótuloacadémico"/>
        <w:keepNext/>
        <w:keepLines/>
      </w:pPr>
      <w:r>
        <w:rPr>
          <w:rFonts w:ascii="Times New Roman" w:hAnsi="Times New Roman"/>
          <w:b/>
          <w:color w:val="000000"/>
        </w:rPr>
        <w:t>Tabla 1</w:t>
      </w:r>
    </w:p>
    <w:p>
      <w:pPr>
        <w:pStyle w:val="Descripciónacadémica"/>
        <w:keepNext/>
        <w:keepLines/>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spacing w:line="240" w:lineRule="auto" w:before="0" w:after="0"/>
        <w:ind w:left="100" w:firstLine="719"/>
        <w:jc w:val="both"/>
      </w:pPr>
      <w:r>
        <w:rPr>
          <w:rFonts w:ascii="Times New Roman" w:hAnsi="Times New Roman"/>
          <w:sz w:val="24"/>
        </w:rPr>
        <w:t>La Figura 2 aporta evidencia visual complementaria de los elementos físicos asociados con las rutas descritas. Las fotografías documentan las unidades observadas y no sustituyen la definición de fronteras ni los registros operativos empleados en el inventario.</w:t>
      </w:r>
    </w:p>
    <w:p>
      <w:pPr>
        <w:pStyle w:val="Rótuloacadémico"/>
        <w:keepNext/>
        <w:keepLines/>
      </w:pPr>
      <w:r>
        <w:rPr>
          <w:rFonts w:ascii="Times New Roman" w:hAnsi="Times New Roman"/>
          <w:b/>
          <w:color w:val="000000"/>
        </w:rPr>
        <w:t>Figura 2</w:t>
      </w:r>
    </w:p>
    <w:p>
      <w:pPr>
        <w:pStyle w:val="Descripciónacadémica"/>
        <w:keepNext/>
        <w:keepLines/>
      </w:pPr>
      <w:r>
        <w:rPr>
          <w:rFonts w:ascii="Times New Roman" w:hAnsi="Times New Roman"/>
          <w:i/>
          <w:color w:val="000000"/>
        </w:rPr>
        <w:t>Elementos físicos de las rutas de manejo estudiadas: (a) pila de precomposteo; (b) camas de lombricompostaje y tanques de almacenamiento del agua de lavado; (c) abertura de la tanqueta de almacenamiento con aguas verdes; y (d) cañón VAIA empleado para la aplicación de aguas verdes o purines al campo.</w:t>
      </w:r>
    </w:p>
    <w:p>
      <w:pPr>
        <w:keepLines/>
        <w:ind w:left="0" w:firstLine="0"/>
        <w:jc w:val="center"/>
      </w:pPr>
      <w:r>
        <w:drawing>
          <wp:inline xmlns:a="http://schemas.openxmlformats.org/drawingml/2006/main" xmlns:pic="http://schemas.openxmlformats.org/drawingml/2006/picture">
            <wp:extent cx="5486400" cy="4285349"/>
            <wp:docPr id="2" name="Picture 2"/>
            <wp:cNvGraphicFramePr>
              <a:graphicFrameLocks noChangeAspect="1"/>
            </wp:cNvGraphicFramePr>
            <a:graphic>
              <a:graphicData uri="http://schemas.openxmlformats.org/drawingml/2006/picture">
                <pic:pic>
                  <pic:nvPicPr>
                    <pic:cNvPr id="0" name="fig_fotografica_sistema_fisico.jpg"/>
                    <pic:cNvPicPr/>
                  </pic:nvPicPr>
                  <pic:blipFill>
                    <a:blip r:embed="rId11"/>
                    <a:stretch>
                      <a:fillRect/>
                    </a:stretch>
                  </pic:blipFill>
                  <pic:spPr>
                    <a:xfrm>
                      <a:off x="0" y="0"/>
                      <a:ext cx="5486400" cy="4285349"/>
                    </a:xfrm>
                    <a:prstGeom prst="rect"/>
                  </pic:spPr>
                </pic:pic>
              </a:graphicData>
            </a:graphic>
          </wp:inline>
        </w:drawing>
      </w:r>
    </w:p>
    <w:p>
      <w:pPr>
        <w:pStyle w:val="Heading2"/>
      </w:pPr>
      <w:r>
        <w:rPr>
          <w:rFonts w:ascii="Times New Roman" w:hAnsi="Times New Roman"/>
          <w:color w:val="000000"/>
        </w:rPr>
        <w:t>4.3 Diseño experimental, muestreo y análisis de laboratorio</w:t>
      </w:r>
    </w:p>
    <w:p>
      <w:pPr>
        <w:pStyle w:val="Heading3"/>
      </w:pPr>
      <w:r>
        <w:rPr>
          <w:rFonts w:ascii="Times New Roman" w:hAnsi="Times New Roman"/>
          <w:color w:val="000000"/>
        </w:rPr>
        <w:t>4.3.1 Campañas y procedencia física de las muestras</w:t>
      </w:r>
    </w:p>
    <w:p>
      <w:pPr>
        <w:spacing w:line="240" w:lineRule="auto" w:before="0" w:after="0"/>
        <w:ind w:left="100" w:firstLine="719"/>
        <w:jc w:val="both"/>
      </w:pPr>
      <w:r>
        <w:rPr>
          <w:rFonts w:ascii="Times New Roman" w:hAnsi="Times New Roman"/>
          <w:sz w:val="24"/>
        </w:rPr>
        <w:t>La caracterización primaria vigente procede exclusivamente de las campañas M1 y M2. En M1, las fotografías de campo y el informe de los Laboratorios de Servicios Analíticos de la Escuela de Química (LASA) documentan el muestreo de estiércol fresco el 10 de noviembre de 2025. LASA recibió esas muestras el 11 de noviembre, realizó el análisis del 13 al 14 de noviembre y emitió el informe el 19 de noviembre. Las fotografías registran trabajo experimental en el Laboratorio de Bioenergía de la Escuela de Ingeniería de Biosistemas de la Universidad de Costa Rica entre el 10 y el 11 de noviembre, sin implicar que todos los materiales se procesaran el mismo día. El Centro de Investigaciones Agronómicas (CIA) recibió el precompostado y las aguas verdes el 10 de noviembre y emitió sus informes el 21 de noviembre; recibió los purines el 17 de noviembre y emitió el informe correspondiente el 28 de noviembre.</w:t>
      </w:r>
    </w:p>
    <w:p>
      <w:pPr>
        <w:spacing w:line="240" w:lineRule="auto" w:before="0" w:after="0"/>
        <w:ind w:left="100" w:firstLine="719"/>
        <w:jc w:val="both"/>
      </w:pPr>
      <w:r>
        <w:rPr>
          <w:rFonts w:ascii="Times New Roman" w:hAnsi="Times New Roman"/>
          <w:sz w:val="24"/>
        </w:rPr>
        <w:t>En M2, las fotografías documentan la preparación de campo el 20 de julio de 2026 y el trabajo en el Laboratorio de Bioenergía el 21 de julio. LASA recibió el estiércol fresco el 23 de julio, realizó el análisis entre el 24 de julio y el 4 de agosto y emitió el informe el 5 de agosto. El CIA recibió el precompostado y las aguas verdes el 23 de julio y emitió sus informes el 30 de julio; recibió los purines el 27 de julio y emitió el informe el 6 de agosto. Las fechas de recepción o emisión no se utilizaron como sustitutos de fechas de muestreo o de análisis cuando estas no constaban expresamente.</w:t>
      </w:r>
    </w:p>
    <w:p>
      <w:pPr>
        <w:spacing w:line="240" w:lineRule="auto" w:before="0" w:after="0"/>
        <w:ind w:left="100" w:firstLine="719"/>
        <w:jc w:val="both"/>
      </w:pPr>
      <w:r>
        <w:rPr>
          <w:rFonts w:ascii="Times New Roman" w:hAnsi="Times New Roman"/>
          <w:sz w:val="24"/>
        </w:rPr>
        <w:t>Se distinguieron submuestra, muestra compuesta y réplica analítica. Cada muestra compuesta sólida reunió aproximadamente 500 g a partir de cinco submuestras de cerca de 100 g. El estiércol fresco se tomó en cinco puntos aleatorios de la sala de espera donde permanecían las vacas antes del ordeño. El estiércol precompostado se tomó en cinco puntos aleatorios de la pila con mayor tiempo de permanencia, cuyo material estaba listo para alimentar las lombrices. Por tanto, esta segunda muestra representa la salida de A1 y la entrada a A2, no una muestra de lombricompost terminado.</w:t>
      </w:r>
    </w:p>
    <w:p>
      <w:pPr>
        <w:spacing w:line="240" w:lineRule="auto" w:before="0" w:after="0"/>
        <w:ind w:left="100" w:firstLine="719"/>
        <w:jc w:val="both"/>
      </w:pPr>
      <w:r>
        <w:rPr>
          <w:rFonts w:ascii="Times New Roman" w:hAnsi="Times New Roman"/>
          <w:sz w:val="24"/>
        </w:rPr>
        <w:t>Las aguas verdes y los purines se muestrearon en campañas separadas y en condiciones operativas distintas, aunque se utilizó la misma tanqueta. Antes de la toma, el contenido se removió manualmente desde el fondo durante aproximadamente 2 min con un rastrillo. Luego se reunieron cinco alícuotas consecutivas de cerca de 100 mL, tomadas con un vaso de laboratorio desde una misma abertura, hasta obtener aproximadamente 500 mL. Las dos aberturas de la tanqueta estaban muy próximas; el procedimiento no se interpreta como un muestreo espacial de zonas distantes.</w:t>
      </w:r>
    </w:p>
    <w:p>
      <w:pPr>
        <w:spacing w:line="240" w:lineRule="auto" w:before="0" w:after="0"/>
        <w:ind w:left="100" w:firstLine="719"/>
        <w:jc w:val="both"/>
      </w:pPr>
      <w:r>
        <w:rPr>
          <w:rFonts w:ascii="Times New Roman" w:hAnsi="Times New Roman"/>
          <w:sz w:val="24"/>
        </w:rPr>
        <w:t>Antes de cada muestreo líquido, la tanqueta se vació el jueves por la tarde y recibió entradas continuas hasta el lunes por la mañana; durante ese intervalo de acumulación previo al muestreo ocurrieron dos lavados de la sala de espera. La muestra representó una acumulación operacional dinámica y no una carga estática aislada. Esta condición específica de campaña se mantuvo separada de la frecuencia operativa anual, representada por el vaciado aproximado cada tres días.</w:t>
      </w:r>
    </w:p>
    <w:p>
      <w:pPr>
        <w:spacing w:line="240" w:lineRule="auto" w:before="0" w:after="0"/>
        <w:ind w:left="100" w:firstLine="719"/>
        <w:jc w:val="both"/>
      </w:pPr>
      <w:r>
        <w:rPr>
          <w:rFonts w:ascii="Times New Roman" w:hAnsi="Times New Roman"/>
          <w:sz w:val="24"/>
        </w:rPr>
        <w:t>En M1 se obtuvieron, para cada sólido, dos muestras compuestas destinadas al Laboratorio de Bioenergía y otras dos muestras compuestas físicamente independientes destinadas al laboratorio externo: LASA para estiércol fresco y el Laboratorio de Suelos y Foliares del CIA para precompostado. En M2 se obtuvieron tres muestras compuestas por sólido; de cada una se tomaron tres réplicas para el Laboratorio de Bioenergía y el material remanente de esas mismas muestras se remitió a LASA o CIA. En M1 se recolectaron además dos muestras compuestas de cada líquido y en M2, tres. El Apéndice D presenta el diseño ejecutado sin reproducir las observaciones ni las réplicas crudas.</w:t>
      </w:r>
    </w:p>
    <w:p>
      <w:pPr>
        <w:pStyle w:val="Heading3"/>
      </w:pPr>
      <w:r>
        <w:rPr>
          <w:rFonts w:ascii="Times New Roman" w:hAnsi="Times New Roman"/>
          <w:color w:val="000000"/>
        </w:rPr>
        <w:t>4.3.2 Preparación, conservación y transporte</w:t>
      </w:r>
    </w:p>
    <w:p>
      <w:pPr>
        <w:spacing w:line="240" w:lineRule="auto" w:before="0" w:after="0"/>
        <w:ind w:left="100" w:firstLine="719"/>
        <w:jc w:val="both"/>
      </w:pPr>
      <w:r>
        <w:rPr>
          <w:rFonts w:ascii="Times New Roman" w:hAnsi="Times New Roman"/>
          <w:sz w:val="24"/>
        </w:rPr>
        <w:t>Las porciones sólidas se pesaron durante el muestreo con una balanza electrónica de campo A&amp;D EJ-610. La fotografía de una pesada representativa no documenta por sí sola las cinco porciones sucesivas que formaron cada muestra compuesta. Las muestras se colocaron en recipientes de polipropileno para alimentos con capacidad aproximada de 750–900 mL, se etiquetaron y se transportaron desde Turrialba hasta la Universidad de Costa Rica en San Pedro dentro de una hielera con hielo. En M2, la identidad física compartida entre el Laboratorio de Bioenergía y los laboratorios externos se conservó tomando primero las porciones requeridas para la gravimetría y remitiendo después el material remanente de cada muestra compuesta.</w:t>
      </w:r>
    </w:p>
    <w:p>
      <w:pPr>
        <w:spacing w:line="240" w:lineRule="auto" w:before="0" w:after="0"/>
        <w:ind w:left="100" w:firstLine="719"/>
        <w:jc w:val="both"/>
      </w:pPr>
      <w:r>
        <w:rPr>
          <w:rFonts w:ascii="Times New Roman" w:hAnsi="Times New Roman"/>
          <w:sz w:val="24"/>
        </w:rPr>
        <w:t>La Figura 3 relaciona la toma de submuestras sólidas y líquidas con la preparación previa de la tanqueta y con las condiciones de conservación descritas. La evidencia fotográfica complementa el registro experimental y no permite identificar por sí sola si el líquido de la secuencia mostrada correspondía a aguas verdes o purines.</w:t>
      </w:r>
    </w:p>
    <w:p>
      <w:pPr>
        <w:pStyle w:val="Rótuloacadémico"/>
        <w:keepNext/>
        <w:keepLines/>
      </w:pPr>
      <w:r>
        <w:rPr>
          <w:rFonts w:ascii="Times New Roman" w:hAnsi="Times New Roman"/>
          <w:b/>
          <w:color w:val="000000"/>
        </w:rPr>
        <w:t>Figura 3</w:t>
      </w:r>
    </w:p>
    <w:p>
      <w:pPr>
        <w:pStyle w:val="Descripciónacadémica"/>
        <w:keepNext/>
        <w:keepLines/>
      </w:pPr>
      <w:r>
        <w:rPr>
          <w:rFonts w:ascii="Times New Roman" w:hAnsi="Times New Roman"/>
          <w:i/>
          <w:color w:val="000000"/>
        </w:rPr>
        <w:t>Procedimiento de muestreo y conservación de las muestras: (a) pesada representativa de una porción sólida con la balanza electrónica de campo; (b) vaso de precipitados de 150 mL empleado para obtener las alícuotas líquidas; (c) rastrillo utilizado para remover previamente el contenido de la tanqueta; y (d) recipientes y bolsas conservados con hielo dentro de una hielera durante el transporte desde Turrialba hasta la UCR. El panel (a) no muestra las cinco porciones sucesivas de una muestra compuesta.</w:t>
      </w:r>
    </w:p>
    <w:p>
      <w:pPr>
        <w:keepLines/>
        <w:ind w:left="0" w:firstLine="0"/>
        <w:jc w:val="center"/>
      </w:pPr>
      <w:r>
        <w:drawing>
          <wp:inline xmlns:a="http://schemas.openxmlformats.org/drawingml/2006/main" xmlns:pic="http://schemas.openxmlformats.org/drawingml/2006/picture">
            <wp:extent cx="5486400" cy="4285349"/>
            <wp:docPr id="3" name="Picture 3"/>
            <wp:cNvGraphicFramePr>
              <a:graphicFrameLocks noChangeAspect="1"/>
            </wp:cNvGraphicFramePr>
            <a:graphic>
              <a:graphicData uri="http://schemas.openxmlformats.org/drawingml/2006/picture">
                <pic:pic>
                  <pic:nvPicPr>
                    <pic:cNvPr id="0" name="fig_fotografica_muestreo_conservacion.jpg"/>
                    <pic:cNvPicPr/>
                  </pic:nvPicPr>
                  <pic:blipFill>
                    <a:blip r:embed="rId12"/>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4.3.3 Determinaciones en el Laboratorio de Bioenergía</w:t>
      </w:r>
    </w:p>
    <w:p>
      <w:pPr>
        <w:spacing w:line="240" w:lineRule="auto" w:before="0" w:after="0"/>
        <w:ind w:left="100" w:firstLine="719"/>
        <w:jc w:val="both"/>
      </w:pPr>
      <w:r>
        <w:rPr>
          <w:rFonts w:ascii="Times New Roman" w:hAnsi="Times New Roman"/>
          <w:sz w:val="24"/>
        </w:rPr>
        <w:t>El Laboratorio de Bioenergía determinó humedad, materia seca, cenizas y sólidos volátiles en estiércol fresco y precompostado, con tres réplicas analíticas por muestra compuesta. Para humedad y materia seca se colocaron aproximadamente 10 g de muestra fresca por réplica en recipientes limpios, secos y previamente pesados. Mediante balanza analítica se registraron por separado la masa del recipiente vacío y la masa del recipiente con la muestra fresca. Las porciones se secaron en estufa a 105 °C durante 16 h, se enfriaron en desecador y se pesaron nuevamente para obtener la masa seca por diferencia y calcular gravimétricamente la materia seca y la humedad. Estas condiciones experimentales también fueron empleadas por Jjagwe et al. (2019) para determinar sólidos totales en estiércol bovino.</w:t>
      </w:r>
    </w:p>
    <w:p>
      <w:pPr>
        <w:spacing w:line="240" w:lineRule="auto" w:before="0" w:after="0"/>
        <w:ind w:left="100" w:firstLine="719"/>
        <w:jc w:val="both"/>
      </w:pPr>
      <w:r>
        <w:rPr>
          <w:rFonts w:ascii="Times New Roman" w:hAnsi="Times New Roman"/>
          <w:sz w:val="24"/>
        </w:rPr>
        <w:t>Para determinar cenizas y sólidos volátiles se transfirió aproximadamente 1 g del material seco a un crisol limpio, seco y previamente pesado. Se registraron la masa del crisol vacío y la masa del crisol con la porción seca; luego se incineró la muestra en mufla a 575 °C durante 4 h, se enfrió el crisol en desecador y se realizó la pesada final. La masa de cenizas se obtuvo como la diferencia entre la masa final y la masa del crisol vacío; los sólidos volátiles correspondieron a la fracción de la masa seca perdida durante la incineración. El procedimiento se apoyó en Leitner et al. (2020), sin atribuirle el carácter de norma universal.</w:t>
      </w:r>
    </w:p>
    <w:p>
      <w:pPr>
        <w:spacing w:line="240" w:lineRule="auto" w:before="0" w:after="0"/>
        <w:ind w:left="100" w:firstLine="719"/>
        <w:jc w:val="both"/>
      </w:pPr>
      <w:r>
        <w:rPr>
          <w:rFonts w:ascii="Times New Roman" w:hAnsi="Times New Roman"/>
          <w:sz w:val="24"/>
        </w:rPr>
        <w:t>Entre los equipos utilizados y documentados fotográficamente se encuentran una balanza analítica OHAUS PR Series, un horno de secado cuya carcasa presenta la inscripción OF-22 y una mufla Yamato con la identificación visible F0810CR. La inscripción OF-22 no se interpreta como fabricante ni como confirmación independiente del modelo, y no se infieren números de serie ni exactitudes instrumentales. Las temperaturas y los tiempos experimentales proceden de los registros del procedimiento, no de las pantallas visibles en las fotografías.</w:t>
      </w:r>
    </w:p>
    <w:p>
      <w:pPr>
        <w:spacing w:line="240" w:lineRule="auto" w:before="0" w:after="0"/>
        <w:ind w:left="100" w:firstLine="719"/>
        <w:jc w:val="both"/>
      </w:pPr>
      <w:r>
        <w:rPr>
          <w:rFonts w:ascii="Times New Roman" w:hAnsi="Times New Roman"/>
          <w:sz w:val="24"/>
        </w:rPr>
        <w:t>La Figura 4 presenta los principales equipos utilizados para las pesadas, el secado, la incineración y el enfriamiento en desecador. Las fotografías fueron tomadas en octubre de 2026 como documentación instrumental posterior del procedimiento común; no se atribuyen a M1 o M2 los materiales visibles ni se incorporan resultados de M3.</w:t>
      </w:r>
    </w:p>
    <w:p>
      <w:pPr>
        <w:pStyle w:val="Rótuloacadémico"/>
        <w:keepNext/>
        <w:keepLines/>
        <w:pageBreakBefore/>
      </w:pPr>
      <w:r>
        <w:rPr>
          <w:rFonts w:ascii="Times New Roman" w:hAnsi="Times New Roman"/>
          <w:b/>
          <w:color w:val="000000"/>
        </w:rPr>
        <w:t>Figura 4</w:t>
      </w:r>
    </w:p>
    <w:p>
      <w:pPr>
        <w:pStyle w:val="Descripciónacadémica"/>
        <w:keepNext/>
        <w:keepLines/>
      </w:pPr>
      <w:r>
        <w:rPr>
          <w:rFonts w:ascii="Times New Roman" w:hAnsi="Times New Roman"/>
          <w:i/>
          <w:color w:val="000000"/>
        </w:rPr>
        <w:t>Equipos utilizados en el procedimiento fisicoquímico del Laboratorio de Bioenergía, fotografiados en octubre de 2026 como documentación instrumental posterior: (a) balanza analítica OHAUS PR Series; (b) horno de secado con la inscripción OF-22 en la carcasa; (c) mufla Yamato F0810CR; y (d) crisoles dentro de un desecador cerrado. Las imágenes documentan los equipos y el procedimiento común, pero no identifican los materiales visibles con M1 o M2 ni establecen resultados o condiciones experimentales a partir de las pantallas.</w:t>
      </w:r>
    </w:p>
    <w:p>
      <w:pPr>
        <w:keepLines/>
        <w:ind w:left="0" w:firstLine="0"/>
        <w:jc w:val="center"/>
      </w:pPr>
      <w:r>
        <w:drawing>
          <wp:inline xmlns:a="http://schemas.openxmlformats.org/drawingml/2006/main" xmlns:pic="http://schemas.openxmlformats.org/drawingml/2006/picture">
            <wp:extent cx="5486400" cy="4285349"/>
            <wp:docPr id="4" name="Picture 4"/>
            <wp:cNvGraphicFramePr>
              <a:graphicFrameLocks noChangeAspect="1"/>
            </wp:cNvGraphicFramePr>
            <a:graphic>
              <a:graphicData uri="http://schemas.openxmlformats.org/drawingml/2006/picture">
                <pic:pic>
                  <pic:nvPicPr>
                    <pic:cNvPr id="0" name="fig_fotografica_bioenergia.jpg"/>
                    <pic:cNvPicPr/>
                  </pic:nvPicPr>
                  <pic:blipFill>
                    <a:blip r:embed="rId13"/>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4.3.4 Determinaciones en LASA y CIA</w:t>
      </w:r>
    </w:p>
    <w:p>
      <w:pPr>
        <w:spacing w:line="240" w:lineRule="auto" w:before="0" w:after="0"/>
        <w:ind w:left="100" w:firstLine="719"/>
        <w:jc w:val="both"/>
      </w:pPr>
      <w:r>
        <w:rPr>
          <w:rFonts w:ascii="Times New Roman" w:hAnsi="Times New Roman"/>
          <w:sz w:val="24"/>
        </w:rPr>
        <w:t>LASA determinó el N total del estiércol fresco mediante Kjeldahl. El procedimiento utilizó entre 0,2 g y 0,3 g de muestra homogénea por triplicado, digestión con mezcla catalítica, destilación por arrastre de vapor hacia una solución receptora y valoración con ácido sulfúrico 0,0500 mol/L. Los resultados se expresaron como porcentaje en masa del material presentado al laboratorio.</w:t>
      </w:r>
    </w:p>
    <w:p>
      <w:pPr>
        <w:spacing w:line="240" w:lineRule="auto" w:before="0" w:after="0"/>
        <w:ind w:left="100" w:firstLine="719"/>
        <w:jc w:val="both"/>
      </w:pPr>
      <w:r>
        <w:rPr>
          <w:rFonts w:ascii="Times New Roman" w:hAnsi="Times New Roman"/>
          <w:sz w:val="24"/>
        </w:rPr>
        <w:t>En M1, el CIA determinó por separado N–NH₄, N–NO₃ y N ureico en aguas verdes y purines. Estas especies se conservaron para trazabilidad y no se sumaron para reconstruir N total. En M2, el CIA determinó N total de ambos líquidos mediante digestión húmeda de 10 g con ácido sulfúrico por Kjeldahl, aforo a 250 mL y determinación colorimétrica mediante análisis por inyección en flujo. Los decimales internos almacenados se conservaron para el cálculo, sin atribuirles una precisión analítica formal mayor que la reportada por el laboratorio.</w:t>
      </w:r>
    </w:p>
    <w:p>
      <w:pPr>
        <w:spacing w:line="240" w:lineRule="auto" w:before="0" w:after="0"/>
        <w:ind w:left="100" w:firstLine="719"/>
        <w:jc w:val="both"/>
      </w:pPr>
      <w:r>
        <w:rPr>
          <w:rFonts w:ascii="Times New Roman" w:hAnsi="Times New Roman"/>
          <w:sz w:val="24"/>
        </w:rPr>
        <w:t>Para el precompostado, el CIA secó el material a 80 °C durante 48 h, lo molió, lo cribó a 1 mm y pesó aproximadamente 80–100 mg para determinar N y C por combustión seca de Dumas en un autoanalizador Elementar Vario Macro Cube. Este acondicionamiento no fue una determinación de humedad y no sustituyó la gravimetría independiente del Laboratorio de Bioenergía a 105 °C durante 16 h.</w:t>
      </w:r>
    </w:p>
    <w:p>
      <w:pPr>
        <w:spacing w:line="240" w:lineRule="auto" w:before="0" w:after="0"/>
        <w:ind w:left="100" w:firstLine="719"/>
        <w:jc w:val="both"/>
      </w:pPr>
      <w:r>
        <w:rPr>
          <w:rFonts w:ascii="Times New Roman" w:hAnsi="Times New Roman"/>
          <w:sz w:val="24"/>
        </w:rPr>
        <w:t>El porcentaje integrado de N del precompostado se conservó en la base preparada por el CIA. Únicamente para construir la referencia experimental en base húmeda de A2 se combinó con la materia seca gravimétrica del Laboratorio de Bioenergía. Esa referencia se utilizó como contraste: A2 recibió productivamente el N total y el nitrógeno amoniacal total propagados desde A1. El carbono y la relación C/N permanecieron como caracterización descriptiva, sin conversión a base húmeda ni consumo en el ACV.</w:t>
      </w:r>
    </w:p>
    <w:p>
      <w:pPr>
        <w:pStyle w:val="Heading3"/>
      </w:pPr>
      <w:r>
        <w:rPr>
          <w:rFonts w:ascii="Times New Roman" w:hAnsi="Times New Roman"/>
          <w:color w:val="000000"/>
        </w:rPr>
        <w:t>4.3.5 Integración M1–M2 y relación con el modelo</w:t>
      </w:r>
    </w:p>
    <w:p>
      <w:pPr>
        <w:spacing w:line="240" w:lineRule="auto" w:before="0" w:after="0"/>
        <w:ind w:left="100" w:firstLine="719"/>
        <w:jc w:val="both"/>
      </w:pPr>
      <w:r>
        <w:rPr>
          <w:rFonts w:ascii="Times New Roman" w:hAnsi="Times New Roman"/>
          <w:sz w:val="24"/>
        </w:rPr>
        <w:t>La jerarquía estadística fue réplica analítica, muestra compuesta, promedio de campaña e integración entre campañas. Primero se resumieron las réplicas dentro de cada muestra compuesta y las muestras dentro de cada campaña; después se integraron los promedios de las campañas elegibles. Las réplicas analíticas no se trataron como observaciones temporales independientes y M1 y M2 recibieron igual peso, aunque M2 contuviera más muestras y réplicas.</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mediante la media de sus promedios de campaña. Cuando una variable no fue compatible, no se forzó la combinación: en líquidos, M1 correspondió a especiación y se mantuvo como trazabilidad, mientras que el N total provisional procedió solo de M2 mediante Kjeldahl. No se aplicaron pruebas inferenciales.</w:t>
      </w:r>
    </w:p>
    <w:p>
      <w:pPr>
        <w:spacing w:line="240" w:lineRule="auto" w:before="0" w:after="0"/>
        <w:ind w:left="100" w:firstLine="719"/>
        <w:jc w:val="both"/>
      </w:pPr>
      <w:r>
        <w:rPr>
          <w:rFonts w:ascii="Times New Roman" w:hAnsi="Times New Roman"/>
          <w:sz w:val="24"/>
        </w:rPr>
        <w:t>La transformación de estiércol fresco a precompostado se calculó primero por campaña a partir de la materia seca y las cenizas de ambos materiales. Después se integraron las razones de M1 y M2 con igual peso temporal y la diferencia de masa se derivó de esa razón integrada; no se construyó a partir de un promedio global previo de las cuatro mediciones.</w:t>
      </w:r>
    </w:p>
    <w:p>
      <w:pPr>
        <w:spacing w:line="240" w:lineRule="auto" w:before="0" w:after="0"/>
        <w:ind w:left="100" w:firstLine="719"/>
        <w:jc w:val="both"/>
      </w:pPr>
      <w:r>
        <w:rPr>
          <w:rFonts w:ascii="Times New Roman" w:hAnsi="Times New Roman"/>
          <w:sz w:val="24"/>
        </w:rPr>
        <w:t>La secuencia experimental fue muestra, determinación, resultado analítico, resumen de campaña, integración M1–M2, parámetro experimental y consumo por una etapa o ecuación. La materia seca y los sólidos volátiles del estiércol fresco alimentaron las estimaciones de CH₄ de A1, A3 y B1; las variables equivalentes del precompostado alimentaron A2. La materia seca y las cenizas de ambos sólidos construyeron la transformación A1→A2. El N del estiércol fresco inicializó el N total en A1, A3 y B1, mientras que el N del precompostado y de los líquidos se conservó como contraste sin reinicializar las cadenas propagadas.</w:t>
      </w:r>
    </w:p>
    <w:p>
      <w:pPr>
        <w:spacing w:line="240" w:lineRule="auto" w:before="0" w:after="0"/>
        <w:ind w:left="100" w:firstLine="719"/>
        <w:jc w:val="both"/>
      </w:pPr>
      <w:r>
        <w:rPr>
          <w:rFonts w:ascii="Times New Roman" w:hAnsi="Times New Roman"/>
          <w:sz w:val="24"/>
        </w:rPr>
        <w:t>La caracterización permanece identificada como PROVISIONAL M1–M2. Aunque M3 cuenta con trabajo experimental realizado y evidencia gravimétrica parcial, el paquete analítico todavía no está completo ni validado; por tanto, M3 no interviene en los datos, parámetros, ecuaciones o resultados presentados.</w:t>
      </w:r>
    </w:p>
    <w:p>
      <w:pPr>
        <w:spacing w:line="240" w:lineRule="auto" w:before="0" w:after="0"/>
        <w:ind w:left="100" w:firstLine="719"/>
        <w:jc w:val="both"/>
      </w:pPr>
      <w:r>
        <w:rPr>
          <w:rFonts w:ascii="Times New Roman" w:hAnsi="Times New Roman"/>
          <w:sz w:val="24"/>
        </w:rPr>
        <w:t>La Tabla 2 sintetiza la relación entre el punto de muestreo, las determinaciones, el laboratorio y la función metodológica, sin duplicar la matriz general por etapa ni trasladar al cuerpo las réplicas crudas.</w:t>
      </w:r>
    </w:p>
    <w:p>
      <w:pPr>
        <w:pStyle w:val="Rótuloacadémico"/>
        <w:keepNext/>
        <w:keepLines/>
      </w:pPr>
      <w:r>
        <w:rPr>
          <w:rFonts w:ascii="Times New Roman" w:hAnsi="Times New Roman"/>
          <w:b/>
          <w:color w:val="000000"/>
        </w:rPr>
        <w:t>Tabla 2</w:t>
      </w:r>
    </w:p>
    <w:p>
      <w:pPr>
        <w:pStyle w:val="Descripciónacadémica"/>
        <w:keepNext/>
        <w:keepLines/>
      </w:pPr>
      <w:r>
        <w:rPr>
          <w:rFonts w:ascii="Times New Roman" w:hAnsi="Times New Roman"/>
          <w:i/>
          <w:color w:val="000000"/>
        </w:rPr>
        <w:t>Procedencia experimental, determinaciones y función metodológica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Procedencia física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Determinaciones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Laboratorio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Relación con el sistema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Función metodológica</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Sala de espera; cinco submuestras de puntos aleatorios por muestra compuesta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Humedad, materia seca, cenizas, sólidos volátiles y N total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Laboratorio de Bioenergía y LASA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 A3: Almacenamiento de aguas verdes; B1: Almacenamiento de purines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Materia seca y sólidos volátiles para CH₄; N total para inicializar N y TAN en las fronteras frescas; cenizas para la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Pila con mayor permanencia, lista para alimentar las lombrices; no corresponde a lombricompost terminado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N total, C y 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y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A1 y material de entrada a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para la transformación A1→A2; materia seca y sólidos volátiles para CH₄; N como referencia de contraste sin reinicializar A2; C y C/N como caracterización descriptiva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del Escenario A,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 y 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durante la operación temporal del Escenario B,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 y 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bl>
    <w:p>
      <w:pPr>
        <w:pStyle w:val="Heading2"/>
      </w:pPr>
      <w:r>
        <w:rPr>
          <w:rFonts w:ascii="Times New Roman" w:hAnsi="Times New Roman"/>
          <w:color w:val="000000"/>
        </w:rPr>
        <w:t>4.4 Fuentes y levantamiento del inventario</w:t>
      </w:r>
    </w:p>
    <w:p>
      <w:pPr>
        <w:spacing w:line="240" w:lineRule="auto" w:before="0" w:after="0"/>
        <w:ind w:left="100" w:firstLine="719"/>
        <w:jc w:val="both"/>
      </w:pPr>
      <w:r>
        <w:rPr>
          <w:rFonts w:ascii="Times New Roman" w:hAnsi="Times New Roman"/>
          <w:sz w:val="24"/>
        </w:rP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w:t>
      </w:r>
    </w:p>
    <w:p>
      <w:pPr>
        <w:spacing w:line="240" w:lineRule="auto" w:before="0" w:after="0"/>
        <w:ind w:left="100" w:firstLine="719"/>
        <w:jc w:val="both"/>
      </w:pPr>
      <w:r>
        <w:rPr>
          <w:rFonts w:ascii="Times New Roman" w:hAnsi="Times New Roman"/>
          <w:sz w:val="24"/>
        </w:rPr>
        <w:t>La procedencia y el tratamiento se registraron por separado. Se clasificaron como mediciones experimentales los resultados obtenidos específicamente de las muestras del TFG, incluidos los servicios analíticos de CIA y LASA. Las características verificadas presencialmente, como la potencia nominal indicada en la placa de la bomba, se clasificaron como observaciones directas.</w:t>
      </w:r>
    </w:p>
    <w:p>
      <w:pPr>
        <w:spacing w:line="240" w:lineRule="auto" w:before="0" w:after="0"/>
        <w:ind w:left="100" w:firstLine="719"/>
        <w:jc w:val="both"/>
      </w:pPr>
      <w:r>
        <w:rPr>
          <w:rFonts w:ascii="Times New Roman" w:hAnsi="Times New Roman"/>
          <w:sz w:val="24"/>
        </w:rPr>
        <w:t>Los parámetros operativos sin mediciones instrumentales o registros documentales suficientes se obtuvieron mediante consultas presenciales con Saúl Brenes Gamboa, administrador y responsable académico de la lechería. Cuando fue necesario, él consultó al personal encargado de las operaciones habituales y comunicó posteriormente las estimaciones al investigador. Esta información se trató como comunicación primaria de campo con un informante clave, no como una entrevista formal ni como mediciones realizadas por Saúl o por los operarios. Sus valores aproximados representan el conocimiento operativo disponible y conservan la incertidumbre asociada con la ausencia de registros instrumentales.</w:t>
      </w:r>
    </w:p>
    <w:p>
      <w:pPr>
        <w:spacing w:line="240" w:lineRule="auto" w:before="0" w:after="0"/>
        <w:ind w:left="100" w:firstLine="719"/>
        <w:jc w:val="both"/>
      </w:pPr>
      <w:r>
        <w:rPr>
          <w:rFonts w:ascii="Times New Roman" w:hAnsi="Times New Roman"/>
          <w:sz w:val="24"/>
        </w:rPr>
        <w:t>Los datos preexistentes de la misma lechería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 La eficiencia de la bomba de 0,80 y el consumo de diésel de 3 L/h se mantuvieron como supuestos de modelación: no fueron mediciones ni se atribuyeron al informante. En cambio, los 686,5 L/día de agua de lavado procedieron de Sánchez-Romero y Brenes-Gamboa (2026), y la potencia nominal de 1,5 kW se obtuvo de la placa del equipo.</w:t>
      </w:r>
    </w:p>
    <w:p>
      <w:pPr>
        <w:spacing w:line="240" w:lineRule="auto" w:before="0" w:after="0"/>
        <w:ind w:left="100" w:firstLine="719"/>
        <w:jc w:val="both"/>
      </w:pPr>
      <w:r>
        <w:rPr>
          <w:rFonts w:ascii="Times New Roman" w:hAnsi="Times New Roman"/>
          <w:sz w:val="24"/>
        </w:rPr>
        <w:t>La masa anual común de aproximadamente 26 278,7 kg de estiércol fresco/año fue un resultado calculado y no un valor publicado directamente. Sánchez-Romero y Brenes-Gamboa (2026) aportaron la masa viva media de 396,6 kg/animal, una población media de 18 animales, una permanencia aproximada de 3,5 h/día, 2,7 kg/animal recolectados durante las actividades evaluadas y 17 525,1 kg/año recolectados. El TFG adoptó separadamente el límite inferior de 7 % de la masa viva por día del intervalo bibliográfico citado por esos autores. La generación diaria teórica por animal se prorrateó por la permanencia de 3,5/24 del día; la fracción recolectada se estimó al dividir la masa recolectada por animal entre ese depósito teórico, y la masa total anual depositada se obtuvo al dividir el total anual recolectado entre la fracción estimada. La precisión completa se conservó para los cálculos, mientras que el texto presenta una precisión acorde con los datos de entrada.</w:t>
      </w:r>
    </w:p>
    <w:p>
      <w:pPr>
        <w:spacing w:line="240" w:lineRule="auto" w:before="0" w:after="0"/>
        <w:ind w:left="100" w:firstLine="719"/>
        <w:jc w:val="both"/>
      </w:pPr>
      <w:r>
        <w:rPr>
          <w:rFonts w:ascii="Times New Roman" w:hAnsi="Times New Roman"/>
          <w:sz w:val="24"/>
        </w:rP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pPr>
        <w:spacing w:line="240" w:lineRule="auto" w:before="0" w:after="0"/>
        <w:ind w:left="100" w:firstLine="719"/>
        <w:jc w:val="both"/>
      </w:pPr>
      <w:r>
        <w:rPr>
          <w:rFonts w:ascii="Times New Roman" w:hAnsi="Times New Roman"/>
          <w:sz w:val="24"/>
        </w:rPr>
        <w:t>La Tabla 3 resume seis macrofamilias de datos y su uso. El Apéndice B, Matriz detallada de procedencia de los datos del inventario, conserva las 15 familias, etapas, subtipos, fuentes concretas y tratamientos necesarios para la trazabilidad fina.</w:t>
      </w:r>
    </w:p>
    <w:p>
      <w:pPr>
        <w:pStyle w:val="Rótuloacadémico"/>
        <w:keepNext/>
        <w:keepLines/>
      </w:pPr>
      <w:r>
        <w:rPr>
          <w:rFonts w:ascii="Times New Roman" w:hAnsi="Times New Roman"/>
          <w:b/>
          <w:color w:val="000000"/>
        </w:rPr>
        <w:t>Tabla 3</w:t>
      </w:r>
    </w:p>
    <w:p>
      <w:pPr>
        <w:pStyle w:val="Descripciónacadémica"/>
        <w:keepNext/>
        <w:keepLines/>
      </w:pPr>
      <w:r>
        <w:rPr>
          <w:rFonts w:ascii="Times New Roman" w:hAnsi="Times New Roman"/>
          <w:i/>
          <w:color w:val="000000"/>
        </w:rPr>
        <w:t>Procedencia y tratamiento de las familias de datos del inventario.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directa o comunicación presencial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como estimación operativa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Tabla 4 sintetiza la secuencia metodológica de cada etapa A1–B2. El Apéndice C, Matriz detallada de trazabilidad metodológica por etapa A1–B2, relaciona cada fenómeno con su ecuación vigente, dato de actividad, factor, procedencia, fuente y uso posterior.</w:t>
      </w:r>
    </w:p>
    <w:p>
      <w:pPr>
        <w:spacing w:line="240" w:lineRule="auto" w:before="0" w:after="0"/>
        <w:ind w:left="100" w:firstLine="719"/>
        <w:jc w:val="both"/>
      </w:pPr>
      <w:r>
        <w:rPr>
          <w:rFonts w:ascii="Times New Roman" w:hAnsi="Times New Roman"/>
          <w:sz w:val="24"/>
        </w:rPr>
        <w:t>Esta vista conserva separadas la generación del inventario y la caracterización de impactos: una emisión elemental o un consumo se obtiene primero y, cuando corresponde, se vincula después con el factor de Environmental Footprint 3.1. La electricidad mantiene el resultado agregado del Instituto Meteorológico Nacional y no se presenta como un flujo elemental caracterizado.</w:t>
      </w:r>
    </w:p>
    <w:p>
      <w:pPr>
        <w:pStyle w:val="Rótuloacadémico"/>
        <w:keepNext/>
        <w:keepLines/>
      </w:pPr>
      <w:r>
        <w:rPr>
          <w:rFonts w:ascii="Times New Roman" w:hAnsi="Times New Roman"/>
          <w:b/>
          <w:color w:val="000000"/>
        </w:rPr>
        <w:t>Tabla 4</w:t>
      </w:r>
    </w:p>
    <w:p>
      <w:pPr>
        <w:pStyle w:val="Descripciónacadémica"/>
        <w:keepNext/>
        <w:keepLines/>
      </w:pPr>
      <w:r>
        <w:rPr>
          <w:rFonts w:ascii="Times New Roman" w:hAnsi="Times New Roman"/>
          <w:i/>
          <w:color w:val="000000"/>
        </w:rPr>
        <w:t>Síntesis de la trazabilidad metodológica por etapa A1–B2.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4.5 Construcción de masas y bases experimentales</w:t>
      </w:r>
    </w:p>
    <w:p>
      <w:pPr>
        <w:spacing w:line="240" w:lineRule="auto" w:before="0" w:after="0"/>
        <w:ind w:left="100" w:firstLine="719"/>
        <w:jc w:val="both"/>
      </w:pPr>
      <w:r>
        <w:rPr>
          <w:rFonts w:ascii="Times New Roman" w:hAnsi="Times New Roman"/>
          <w:sz w:val="24"/>
        </w:rPr>
        <w:t>Las masas anuales de las seis etapas se construyeron a partir del estiércol fresco recolectado, la fracción recolectada respecto del depósito teórico en la sala de ordeño, el balance de la fracción remanente y el volumen anual de agua de lavado. El primer conjunto de relaciones define las masas de estiércol que ingresan a A1, A3 y B1; todas se expresan en kg/año.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A</m:t>
                        </m:r>
                        <m:r>
                          <m:rPr>
                            <m:sty m:val="p"/>
                          </m:rPr>
                          <m:t>1</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r>
              <m:rPr>
                <m:sty m:val="i"/>
              </m:rPr>
              <m:t>;</m:t>
            </m:r>
            <m:r>
              <m:t/>
            </m:r>
            <m:sSub>
              <m:e>
                <m:r>
                  <m:rPr>
                    <m:sty m:val="i"/>
                  </m:rPr>
                  <m:t>m</m:t>
                </m:r>
              </m:e>
              <m:sub>
                <m:box>
                  <m:e>
                    <m:box>
                      <m:e>
                        <m:r>
                          <m:rPr>
                            <m:sty m:val="p"/>
                          </m:rPr>
                          <m:t>B</m:t>
                        </m:r>
                        <m:r>
                          <m:rPr>
                            <m:sty m:val="p"/>
                          </m:rPr>
                          <m:t>1</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num>
              <m:den>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den>
            </m:f>
            <m:r>
              <m:rPr>
                <m:sty m:val="i"/>
              </m:rPr>
              <m:t>;</m:t>
            </m:r>
            <m:r>
              <m:t/>
            </m:r>
            <m:sSub>
              <m:e>
                <m:r>
                  <m:rPr>
                    <m:sty m:val="i"/>
                  </m:rPr>
                  <m:t>m</m:t>
                </m:r>
              </m:e>
              <m:sub>
                <m:box>
                  <m:e>
                    <m:box>
                      <m:e>
                        <m:r>
                          <m:rPr>
                            <m:sty m:val="p"/>
                          </m:rPr>
                          <m:t>A</m:t>
                        </m:r>
                        <m:r>
                          <m:rPr>
                            <m:sty m:val="p"/>
                          </m:rPr>
                          <m:t>3</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ab/>
        <w:t>(1)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A</m:t>
                        </m:r>
                        <m:r>
                          <m:rPr>
                            <m:sty m:val="p"/>
                          </m:rPr>
                          <m:t>1</m:t>
                        </m:r>
                      </m:e>
                    </m:box>
                  </m:e>
                </m:box>
              </m:sub>
            </m:sSub>
          </m:e>
        </m:box>
      </m:oMath>
      <w:r>
        <w:rPr>
          <w:rFonts w:ascii="Times New Roman" w:hAnsi="Times New Roman"/>
          <w:sz w:val="24"/>
        </w:rPr>
        <w:t xml:space="preserve"> es la masa anual de estiércol recolectado que ingresa a A1 (kg/año)</w:t>
      </w:r>
      <w:r>
        <w:rPr>
          <w:rFonts w:ascii="Times New Roman" w:hAnsi="Times New Roman"/>
          <w:sz w:val="24"/>
        </w:rPr>
        <w:t xml:space="preserve">; </w:t>
      </w:r>
      <m:oMath>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 xml:space="preserve"> es la masa anual recuperada por paleado (kg/año)</w:t>
      </w:r>
      <w:r>
        <w:rPr>
          <w:rFonts w:ascii="Times New Roman" w:hAnsi="Times New Roman"/>
          <w:sz w:val="24"/>
        </w:rPr>
        <w:t xml:space="preserve">; </w:t>
      </w:r>
      <m:oMath>
        <m:box>
          <m:e>
            <m:sSub>
              <m:e>
                <m:r>
                  <m:rPr>
                    <m:sty m:val="i"/>
                  </m:rPr>
                  <m:t>m</m:t>
                </m:r>
              </m:e>
              <m:sub>
                <m:box>
                  <m:e>
                    <m:box>
                      <m:e>
                        <m:r>
                          <m:rPr>
                            <m:sty m:val="p"/>
                          </m:rPr>
                          <m:t>B</m:t>
                        </m:r>
                        <m:r>
                          <m:rPr>
                            <m:sty m:val="p"/>
                          </m:rPr>
                          <m:t>1</m:t>
                        </m:r>
                      </m:e>
                    </m:box>
                  </m:e>
                </m:box>
              </m:sub>
            </m:sSub>
          </m:e>
        </m:box>
      </m:oMath>
      <w:r>
        <w:rPr>
          <w:rFonts w:ascii="Times New Roman" w:hAnsi="Times New Roman"/>
          <w:sz w:val="24"/>
        </w:rPr>
        <w:t xml:space="preserve"> es la masa anual de estiércol que ingresa a B1 (kg/año)</w:t>
      </w:r>
      <w:r>
        <w:rPr>
          <w:rFonts w:ascii="Times New Roman" w:hAnsi="Times New Roman"/>
          <w:sz w:val="24"/>
        </w:rPr>
        <w:t xml:space="preserve">; </w:t>
      </w:r>
      <m:oMath>
        <m:box>
          <m:e>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e>
        </m:box>
      </m:oMath>
      <w:r>
        <w:rPr>
          <w:rFonts w:ascii="Times New Roman" w:hAnsi="Times New Roman"/>
          <w:sz w:val="24"/>
        </w:rPr>
        <w:t xml:space="preserve"> es la masa anual teóricamente depositada en la sala de ordeño (kg/año)</w:t>
      </w:r>
      <w:r>
        <w:rPr>
          <w:rFonts w:ascii="Times New Roman" w:hAnsi="Times New Roman"/>
          <w:sz w:val="24"/>
        </w:rPr>
        <w:t xml:space="preserve">; </w:t>
      </w:r>
      <m:oMath>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oMath>
      <w:r>
        <w:rPr>
          <w:rFonts w:ascii="Times New Roman" w:hAnsi="Times New Roman"/>
          <w:sz w:val="24"/>
        </w:rPr>
        <w:t xml:space="preserve"> es la fracción másica recuperada por paleado respecto del depósito teórico (kg/kg; adimensional)</w:t>
      </w:r>
      <w:r>
        <w:rPr>
          <w:rFonts w:ascii="Times New Roman" w:hAnsi="Times New Roman"/>
          <w:sz w:val="24"/>
        </w:rPr>
        <w:t xml:space="preserve">; </w:t>
      </w:r>
      <m:oMath>
        <m:box>
          <m:e>
            <m:sSub>
              <m:e>
                <m:r>
                  <m:rPr>
                    <m:sty m:val="i"/>
                  </m:rPr>
                  <m:t>m</m:t>
                </m:r>
              </m:e>
              <m:sub>
                <m:box>
                  <m:e>
                    <m:box>
                      <m:e>
                        <m:r>
                          <m:rPr>
                            <m:sty m:val="p"/>
                          </m:rPr>
                          <m:t>A</m:t>
                        </m:r>
                        <m:r>
                          <m:rPr>
                            <m:sty m:val="p"/>
                          </m:rPr>
                          <m:t>3</m:t>
                        </m:r>
                      </m:e>
                    </m:box>
                  </m:e>
                </m:box>
              </m:sub>
            </m:sSub>
          </m:e>
        </m:box>
      </m:oMath>
      <w:r>
        <w:rPr>
          <w:rFonts w:ascii="Times New Roman" w:hAnsi="Times New Roman"/>
          <w:sz w:val="24"/>
        </w:rPr>
        <w:t xml:space="preserve"> es la masa anual remanente que puede incorporarse a las aguas verdes (kg/año)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Las masas equivalentes de A4 y B2 expresan la mezcla física o dilución del estiércol con el agua de lavado. No crean N, no reinicializan N total ni nitrógeno amoniacal total (TAN, por sus siglas en inglés) y no constituyen la base de las ecuaciones nitrogenadas del suelo, que reciben las reservas propagadas desde A3 y B1.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e</m:t>
                        </m:r>
                        <m:r>
                          <m:rPr>
                            <m:sty m:val="p"/>
                          </m:rPr>
                          <m:t>q</m:t>
                        </m:r>
                        <m:r>
                          <m:rPr>
                            <m:sty m:val="p"/>
                          </m:rPr>
                          <m:t>,</m:t>
                        </m:r>
                        <m:r>
                          <m:rPr>
                            <m:sty m:val="p"/>
                          </m:rPr>
                          <m:t>A</m:t>
                        </m:r>
                        <m:r>
                          <m:rPr>
                            <m:sty m:val="p"/>
                          </m:rPr>
                          <m:t>4</m:t>
                        </m:r>
                      </m:e>
                    </m:box>
                  </m:e>
                </m:box>
              </m:sub>
            </m:sSub>
            <m:r>
              <m:rPr>
                <m:sty m:val="p"/>
              </m:rPr>
              <m:t>=</m:t>
            </m:r>
            <m:sSub>
              <m:e>
                <m:r>
                  <m:rPr>
                    <m:sty m:val="i"/>
                  </m:rPr>
                  <m:t>m</m:t>
                </m:r>
              </m:e>
              <m:sub>
                <m:box>
                  <m:e>
                    <m:box>
                      <m:e>
                        <m:r>
                          <m:rPr>
                            <m:sty m:val="p"/>
                          </m:rPr>
                          <m:t>A</m:t>
                        </m:r>
                        <m:r>
                          <m:rPr>
                            <m:sty m:val="p"/>
                          </m:rPr>
                          <m:t>3</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r>
              <m:rPr>
                <m:sty m:val="i"/>
              </m:rPr>
              <m:t>;</m:t>
            </m:r>
            <m:r>
              <m:t/>
            </m:r>
            <m:sSub>
              <m:e>
                <m:r>
                  <m:rPr>
                    <m:sty m:val="i"/>
                  </m:rPr>
                  <m:t>m</m:t>
                </m:r>
              </m:e>
              <m:sub>
                <m:box>
                  <m:e>
                    <m:box>
                      <m:e>
                        <m:r>
                          <m:rPr>
                            <m:sty m:val="p"/>
                          </m:rPr>
                          <m:t>e</m:t>
                        </m:r>
                        <m:r>
                          <m:rPr>
                            <m:sty m:val="p"/>
                          </m:rPr>
                          <m:t>q</m:t>
                        </m:r>
                        <m:r>
                          <m:rPr>
                            <m:sty m:val="p"/>
                          </m:rPr>
                          <m:t>,</m:t>
                        </m:r>
                        <m:r>
                          <m:rPr>
                            <m:sty m:val="p"/>
                          </m:rPr>
                          <m:t>B</m:t>
                        </m:r>
                        <m:r>
                          <m:rPr>
                            <m:sty m:val="p"/>
                          </m:rPr>
                          <m:t>2</m:t>
                        </m:r>
                      </m:e>
                    </m:box>
                  </m:e>
                </m:box>
              </m:sub>
            </m:sSub>
            <m:r>
              <m:rPr>
                <m:sty m:val="p"/>
              </m:rPr>
              <m:t>=</m:t>
            </m:r>
            <m:sSub>
              <m:e>
                <m:r>
                  <m:rPr>
                    <m:sty m:val="i"/>
                  </m:rPr>
                  <m:t>m</m:t>
                </m:r>
              </m:e>
              <m:sub>
                <m:box>
                  <m:e>
                    <m:box>
                      <m:e>
                        <m:r>
                          <m:rPr>
                            <m:sty m:val="p"/>
                          </m:rPr>
                          <m:t>B</m:t>
                        </m:r>
                        <m:r>
                          <m:rPr>
                            <m:sty m:val="p"/>
                          </m:rPr>
                          <m:t>1</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e>
        </m:box>
      </m:oMath>
      <w:r>
        <w:rPr>
          <w:rFonts w:ascii="Times New Roman" w:hAnsi="Times New Roman"/>
          <w:sz w:val="24"/>
        </w:rPr>
        <w:tab/>
        <w:t>(2)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e</m:t>
                        </m:r>
                        <m:r>
                          <m:rPr>
                            <m:sty m:val="p"/>
                          </m:rPr>
                          <m:t>q</m:t>
                        </m:r>
                        <m:r>
                          <m:rPr>
                            <m:sty m:val="p"/>
                          </m:rPr>
                          <m:t>,</m:t>
                        </m:r>
                        <m:r>
                          <m:rPr>
                            <m:sty m:val="p"/>
                          </m:rPr>
                          <m:t>A</m:t>
                        </m:r>
                        <m:r>
                          <m:rPr>
                            <m:sty m:val="p"/>
                          </m:rPr>
                          <m:t>4</m:t>
                        </m:r>
                      </m:e>
                    </m:box>
                  </m:e>
                </m:box>
              </m:sub>
            </m:sSub>
          </m:e>
        </m:box>
      </m:oMath>
      <w:r>
        <w:rPr>
          <w:rFonts w:ascii="Times New Roman" w:hAnsi="Times New Roman"/>
          <w:sz w:val="24"/>
        </w:rPr>
        <w:t xml:space="preserve"> es la masa equivalente anual de la mezcla aplicada en A4 (kg eq/año)</w:t>
      </w:r>
      <w:r>
        <w:rPr>
          <w:rFonts w:ascii="Times New Roman" w:hAnsi="Times New Roman"/>
          <w:sz w:val="24"/>
        </w:rPr>
        <w:t xml:space="preserve">; </w:t>
      </w:r>
      <m:oMath>
        <m:box>
          <m:e>
            <m:sSub>
              <m:e>
                <m:r>
                  <m:rPr>
                    <m:sty m:val="i"/>
                  </m:rPr>
                  <m:t>m</m:t>
                </m:r>
              </m:e>
              <m:sub>
                <m:box>
                  <m:e>
                    <m:box>
                      <m:e>
                        <m:r>
                          <m:rPr>
                            <m:sty m:val="p"/>
                          </m:rPr>
                          <m:t>e</m:t>
                        </m:r>
                        <m:r>
                          <m:rPr>
                            <m:sty m:val="p"/>
                          </m:rPr>
                          <m:t>q</m:t>
                        </m:r>
                        <m:r>
                          <m:rPr>
                            <m:sty m:val="p"/>
                          </m:rPr>
                          <m:t>,</m:t>
                        </m:r>
                        <m:r>
                          <m:rPr>
                            <m:sty m:val="p"/>
                          </m:rPr>
                          <m:t>B</m:t>
                        </m:r>
                        <m:r>
                          <m:rPr>
                            <m:sty m:val="p"/>
                          </m:rPr>
                          <m:t>2</m:t>
                        </m:r>
                      </m:e>
                    </m:box>
                  </m:e>
                </m:box>
              </m:sub>
            </m:sSub>
          </m:e>
        </m:box>
      </m:oMath>
      <w:r>
        <w:rPr>
          <w:rFonts w:ascii="Times New Roman" w:hAnsi="Times New Roman"/>
          <w:sz w:val="24"/>
        </w:rPr>
        <w:t xml:space="preserve"> es la masa equivalente anual de la mezcla aplicada en B2 (kg eq/año)</w:t>
      </w:r>
      <w:r>
        <w:rPr>
          <w:rFonts w:ascii="Times New Roman" w:hAnsi="Times New Roman"/>
          <w:sz w:val="24"/>
        </w:rPr>
        <w:t xml:space="preserve">; </w:t>
      </w:r>
      <m:oMath>
        <m:box>
          <m:e>
            <m:sSub>
              <m:e>
                <m:r>
                  <m:rPr>
                    <m:sty m:val="i"/>
                  </m:rPr>
                  <m:t>m</m:t>
                </m:r>
              </m:e>
              <m:sub>
                <m:box>
                  <m:e>
                    <m:box>
                      <m:e>
                        <m:r>
                          <m:rPr>
                            <m:sty m:val="p"/>
                          </m:rPr>
                          <m:t>A</m:t>
                        </m:r>
                        <m:r>
                          <m:rPr>
                            <m:sty m:val="p"/>
                          </m:rPr>
                          <m:t>3</m:t>
                        </m:r>
                      </m:e>
                    </m:box>
                  </m:e>
                </m:box>
              </m:sub>
            </m:sSub>
          </m:e>
        </m:box>
      </m:oMath>
      <w:r>
        <w:rPr>
          <w:rFonts w:ascii="Times New Roman" w:hAnsi="Times New Roman"/>
          <w:sz w:val="24"/>
        </w:rPr>
        <w:t xml:space="preserve"> es la masa anual de estiércol incorporada a las aguas verdes (kg/año)</w:t>
      </w:r>
      <w:r>
        <w:rPr>
          <w:rFonts w:ascii="Times New Roman" w:hAnsi="Times New Roman"/>
          <w:sz w:val="24"/>
        </w:rPr>
        <w:t xml:space="preserve">; </w:t>
      </w:r>
      <m:oMath>
        <m:box>
          <m:e>
            <m:sSub>
              <m:e>
                <m:r>
                  <m:rPr>
                    <m:sty m:val="i"/>
                  </m:rPr>
                  <m:t>m</m:t>
                </m:r>
              </m:e>
              <m:sub>
                <m:box>
                  <m:e>
                    <m:box>
                      <m:e>
                        <m:r>
                          <m:rPr>
                            <m:sty m:val="p"/>
                          </m:rPr>
                          <m:t>B</m:t>
                        </m:r>
                        <m:r>
                          <m:rPr>
                            <m:sty m:val="p"/>
                          </m:rPr>
                          <m:t>1</m:t>
                        </m:r>
                      </m:e>
                    </m:box>
                  </m:e>
                </m:box>
              </m:sub>
            </m:sSub>
          </m:e>
        </m:box>
      </m:oMath>
      <w:r>
        <w:rPr>
          <w:rFonts w:ascii="Times New Roman" w:hAnsi="Times New Roman"/>
          <w:sz w:val="24"/>
        </w:rPr>
        <w:t xml:space="preserve"> es la masa anual de estiércol incorporada al purín (kg/año)</w:t>
      </w:r>
      <w:r>
        <w:rPr>
          <w:rFonts w:ascii="Times New Roman" w:hAnsi="Times New Roman"/>
          <w:sz w:val="24"/>
        </w:rPr>
        <w:t xml:space="preserve">; </w:t>
      </w:r>
      <m:oMath>
        <m:box>
          <m:e>
            <m:sSub>
              <m:e>
                <m:r>
                  <m:rPr>
                    <m:sty m:val="i"/>
                  </m:rPr>
                  <m:t>V</m:t>
                </m:r>
              </m:e>
              <m:sub>
                <m:box>
                  <m:e>
                    <m:box>
                      <m:e>
                        <m:r>
                          <m:rPr>
                            <m:sty m:val="p"/>
                          </m:rPr>
                          <m:t>a</m:t>
                        </m:r>
                        <m:r>
                          <m:rPr>
                            <m:sty m:val="p"/>
                          </m:rPr>
                          <m:t>g</m:t>
                        </m:r>
                        <m:r>
                          <m:rPr>
                            <m:sty m:val="p"/>
                          </m:rPr>
                          <m:t>u</m:t>
                        </m:r>
                        <m:r>
                          <m:rPr>
                            <m:sty m:val="p"/>
                          </m:rPr>
                          <m:t>a</m:t>
                        </m:r>
                      </m:e>
                    </m:box>
                  </m:e>
                </m:box>
              </m:sub>
            </m:sSub>
          </m:e>
        </m:box>
      </m:oMath>
      <w:r>
        <w:rPr>
          <w:rFonts w:ascii="Times New Roman" w:hAnsi="Times New Roman"/>
          <w:sz w:val="24"/>
        </w:rPr>
        <w:t xml:space="preserve"> es el volumen anual de agua de lavado (L/año)</w:t>
      </w:r>
      <w:r>
        <w:rPr>
          <w:rFonts w:ascii="Times New Roman" w:hAnsi="Times New Roman"/>
          <w:sz w:val="24"/>
        </w:rPr>
        <w:t xml:space="preserve">; </w:t>
      </w:r>
      <m:oMath>
        <m:box>
          <m:e>
            <m:r>
              <m:rPr>
                <m:sty m:val="p"/>
              </m:rPr>
              <m:t>1</m:t>
            </m:r>
            <m:r>
              <m:rPr>
                <m:nor/>
              </m:rPr>
              <m:t> </m:t>
            </m:r>
            <m:box>
              <m:e>
                <m:r>
                  <m:rPr>
                    <m:sty m:val="p"/>
                  </m:rPr>
                  <m:t>k</m:t>
                </m:r>
                <m:r>
                  <m:rPr>
                    <m:sty m:val="p"/>
                  </m:rPr>
                  <m:t>g</m:t>
                </m:r>
                <m:r>
                  <m:rPr>
                    <m:sty m:val="p"/>
                  </m:rPr>
                  <m:t>/</m:t>
                </m:r>
                <m:r>
                  <m:rPr>
                    <m:sty m:val="p"/>
                  </m:rPr>
                  <m:t>L</m:t>
                </m:r>
              </m:e>
            </m:box>
          </m:e>
        </m:box>
      </m:oMath>
      <w:r>
        <w:rPr>
          <w:rFonts w:ascii="Times New Roman" w:hAnsi="Times New Roman"/>
          <w:sz w:val="24"/>
        </w:rPr>
        <w:t xml:space="preserve"> es la equivalencia de masa adoptada para el agua</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transformación húmeda A1→A2 se calculó primero en cada jornada elegible mediante R j y luego se integró con igual peso temporal. Las fracciones de materia seca (MS) se expresan respecto de la masa húmeda y las fracciones de cenizas respecto de la materia seca; el acento circunflejo identifica que la masa húmeda de A2 fue inferida, no pesada a la salida de A1.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r>
                  <m:rPr>
                    <m:sty m:val="i"/>
                  </m:rPr>
                  <m:t>j</m:t>
                </m:r>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limUpp>
              <m:e>
                <m:r>
                  <m:rPr>
                    <m:sty m:val="i"/>
                  </m:rPr>
                  <m:t>R</m:t>
                </m:r>
              </m:e>
              <m:lim>
                <m:r>
                  <m:rPr>
                    <m:sty m:val="p"/>
                  </m:rPr>
                  <m:t>―</m:t>
                </m:r>
              </m:lim>
            </m:limUpp>
            <m:r>
              <m:rPr>
                <m:sty m:val="p"/>
              </m:rPr>
              <m:t>=</m:t>
            </m:r>
            <m:f>
              <m:num>
                <m:box>
                  <m:e>
                    <m:r>
                      <m:rPr>
                        <m:sty m:val="p"/>
                      </m:rPr>
                      <m:t>1</m:t>
                    </m:r>
                  </m:e>
                </m:box>
              </m:num>
              <m:den>
                <m:box>
                  <m:e>
                    <m:r>
                      <m:rPr>
                        <m:sty m:val="i"/>
                      </m:rPr>
                      <m:t>n</m:t>
                    </m:r>
                  </m:e>
                </m:box>
              </m:den>
            </m:f>
            <m:nary>
              <m:naryPr>
                <m:chr m:val="∑"/>
                <m:limLoc m:val="undOvr"/>
              </m:naryPr>
              <m:sub>
                <m:box>
                  <m:e>
                    <m:r>
                      <m:rPr>
                        <m:sty m:val="i"/>
                      </m:rPr>
                      <m:t>j</m:t>
                    </m:r>
                    <m:r>
                      <m:rPr>
                        <m:sty m:val="p"/>
                      </m:rPr>
                      <m:t>=</m:t>
                    </m:r>
                    <m:r>
                      <m:rPr>
                        <m:sty m:val="p"/>
                      </m:rPr>
                      <m:t>1</m:t>
                    </m:r>
                  </m:e>
                </m:box>
              </m:sub>
              <m:sup>
                <m:box>
                  <m:e>
                    <m:r>
                      <m:rPr>
                        <m:sty m:val="i"/>
                      </m:rPr>
                      <m:t>n</m:t>
                    </m:r>
                  </m:e>
                </m:box>
              </m:sup>
              <m:e>
                <m:sSub>
                  <m:e>
                    <m:r>
                      <m:rPr>
                        <m:sty m:val="i"/>
                      </m:rPr>
                      <m:t>R</m:t>
                    </m:r>
                  </m:e>
                  <m:sub>
                    <m:r>
                      <m:rPr>
                        <m:sty m:val="i"/>
                      </m:rPr>
                      <m:t>j</m:t>
                    </m:r>
                  </m:sub>
                </m:sSub>
                <m:r>
                  <m:rPr>
                    <m:sty m:val="i"/>
                  </m:rPr>
                  <m:t>;</m:t>
                </m:r>
                <m:r>
                  <m:t/>
                </m:r>
                <m:sSub>
                  <m:e>
                    <m:limUpp>
                      <m:e>
                        <m:r>
                          <m:rPr>
                            <m:sty m:val="i"/>
                          </m:rPr>
                          <m:t>m</m:t>
                        </m:r>
                      </m:e>
                      <m:lim>
                        <m:r>
                          <m:rPr>
                            <m:sty m:val="p"/>
                          </m:rPr>
                          <m:t>^</m:t>
                        </m:r>
                      </m:lim>
                    </m:limUpp>
                  </m:e>
                  <m:sub>
                    <m:box>
                      <m:e>
                        <m:box>
                          <m:e>
                            <m:r>
                              <m:rPr>
                                <m:sty m:val="p"/>
                              </m:rPr>
                              <m:t>A</m:t>
                            </m:r>
                            <m:r>
                              <m:rPr>
                                <m:sty m:val="p"/>
                              </m:rPr>
                              <m:t>2</m:t>
                            </m:r>
                          </m:e>
                        </m:box>
                      </m:e>
                    </m:box>
                  </m:sub>
                </m:sSub>
                <m:r>
                  <m:rPr>
                    <m:sty m:val="p"/>
                  </m:rPr>
                  <m:t>=</m:t>
                </m:r>
                <m:sSub>
                  <m:e>
                    <m:r>
                      <m:rPr>
                        <m:sty m:val="i"/>
                      </m:rPr>
                      <m:t>m</m:t>
                    </m:r>
                  </m:e>
                  <m:sub>
                    <m:box>
                      <m:e>
                        <m:box>
                          <m:e>
                            <m:r>
                              <m:rPr>
                                <m:sty m:val="p"/>
                              </m:rPr>
                              <m:t>A</m:t>
                            </m:r>
                            <m:r>
                              <m:rPr>
                                <m:sty m:val="p"/>
                              </m:rPr>
                              <m:t>1</m:t>
                            </m:r>
                          </m:e>
                        </m:box>
                      </m:e>
                    </m:box>
                  </m:sub>
                </m:sSub>
                <m:r>
                  <m:t/>
                </m:r>
                <m:limUpp>
                  <m:e>
                    <m:r>
                      <m:rPr>
                        <m:sty m:val="i"/>
                      </m:rPr>
                      <m:t>R</m:t>
                    </m:r>
                  </m:e>
                  <m:lim>
                    <m:r>
                      <m:rPr>
                        <m:sty m:val="p"/>
                      </m:rPr>
                      <m:t>―</m:t>
                    </m:r>
                  </m:lim>
                </m:limUpp>
              </m:e>
            </m:nary>
          </m:e>
        </m:box>
      </m:oMath>
      <w:r>
        <w:rPr>
          <w:rFonts w:ascii="Times New Roman" w:hAnsi="Times New Roman"/>
          <w:sz w:val="24"/>
        </w:rPr>
        <w:tab/>
        <w:t>(3)</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R</m:t>
                </m:r>
              </m:e>
              <m:sub>
                <m:r>
                  <m:rPr>
                    <m:sty m:val="i"/>
                  </m:rPr>
                  <m:t>j</m:t>
                </m:r>
              </m:sub>
            </m:sSub>
          </m:e>
        </m:box>
      </m:oMath>
      <w:r>
        <w:rPr>
          <w:rFonts w:ascii="Times New Roman" w:hAnsi="Times New Roman"/>
          <w:sz w:val="24"/>
        </w:rPr>
        <w:t xml:space="preserve"> es la razón de masa húmeda precompostada respecto de la masa húmeda fresca en la campaña elegible j (kg/kg; adimensional)</w:t>
      </w:r>
      <w:r>
        <w:rPr>
          <w:rFonts w:ascii="Times New Roman" w:hAnsi="Times New Roman"/>
          <w:sz w:val="24"/>
        </w:rPr>
        <w:t xml:space="preserve">; </w:t>
      </w:r>
      <m:oMath>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oMath>
      <w:r>
        <w:rPr>
          <w:rFonts w:ascii="Times New Roman" w:hAnsi="Times New Roman"/>
          <w:sz w:val="24"/>
        </w:rPr>
        <w:t xml:space="preserve"> es la fracción de materia seca del estiércol fresco en la campaña j (kg MS/kg de muestra húmeda)</w:t>
      </w:r>
      <w:r>
        <w:rPr>
          <w:rFonts w:ascii="Times New Roman" w:hAnsi="Times New Roman"/>
          <w:sz w:val="24"/>
        </w:rPr>
        <w:t xml:space="preserve">; </w:t>
      </w:r>
      <m:oMath>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oMath>
      <w:r>
        <w:rPr>
          <w:rFonts w:ascii="Times New Roman" w:hAnsi="Times New Roman"/>
          <w:sz w:val="24"/>
        </w:rPr>
        <w:t xml:space="preserve"> es la fracción de cenizas del estiércol fresco en la campaña j (kg de cenizas/kg MS)</w:t>
      </w:r>
      <w:r>
        <w:rPr>
          <w:rFonts w:ascii="Times New Roman" w:hAnsi="Times New Roman"/>
          <w:sz w:val="24"/>
        </w:rPr>
        <w:t xml:space="preserve">; </w:t>
      </w:r>
      <m:oMath>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oMath>
      <w:r>
        <w:rPr>
          <w:rFonts w:ascii="Times New Roman" w:hAnsi="Times New Roman"/>
          <w:sz w:val="24"/>
        </w:rPr>
        <w:t xml:space="preserve"> es la fracción de materia seca del precompostado en la campaña j (kg MS/kg de muestra húmeda)</w:t>
      </w:r>
      <w:r>
        <w:rPr>
          <w:rFonts w:ascii="Times New Roman" w:hAnsi="Times New Roman"/>
          <w:sz w:val="24"/>
        </w:rPr>
        <w:t xml:space="preserve">; </w:t>
      </w:r>
      <m:oMath>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oMath>
      <w:r>
        <w:rPr>
          <w:rFonts w:ascii="Times New Roman" w:hAnsi="Times New Roman"/>
          <w:sz w:val="24"/>
        </w:rPr>
        <w:t xml:space="preserve"> es la fracción de cenizas del precompostado en la campaña j (kg de cenizas/kg MS)</w:t>
      </w:r>
      <w:r>
        <w:rPr>
          <w:rFonts w:ascii="Times New Roman" w:hAnsi="Times New Roman"/>
          <w:sz w:val="24"/>
        </w:rPr>
        <w:t xml:space="preserve">; </w:t>
      </w:r>
      <m:oMath>
        <m:box>
          <m:e>
            <m:limUpp>
              <m:e>
                <m:r>
                  <m:rPr>
                    <m:sty m:val="i"/>
                  </m:rPr>
                  <m:t>R</m:t>
                </m:r>
              </m:e>
              <m:lim>
                <m:r>
                  <m:rPr>
                    <m:sty m:val="p"/>
                  </m:rPr>
                  <m:t>―</m:t>
                </m:r>
              </m:lim>
            </m:limUpp>
          </m:e>
        </m:box>
      </m:oMath>
      <w:r>
        <w:rPr>
          <w:rFonts w:ascii="Times New Roman" w:hAnsi="Times New Roman"/>
          <w:sz w:val="24"/>
        </w:rPr>
        <w:t xml:space="preserve"> es la media con igual peso temporal de las razones de las n campañas elegibles (kg/kg; adimensional)</w:t>
      </w:r>
      <w:r>
        <w:rPr>
          <w:rFonts w:ascii="Times New Roman" w:hAnsi="Times New Roman"/>
          <w:sz w:val="24"/>
        </w:rPr>
        <w:t xml:space="preserve">; </w:t>
      </w:r>
      <m:oMath>
        <m:box>
          <m:e>
            <m:sSub>
              <m:e>
                <m:limUpp>
                  <m:e>
                    <m:r>
                      <m:rPr>
                        <m:sty m:val="i"/>
                      </m:rPr>
                      <m:t>m</m:t>
                    </m:r>
                  </m:e>
                  <m:lim>
                    <m:r>
                      <m:rPr>
                        <m:sty m:val="p"/>
                      </m:rPr>
                      <m:t>^</m:t>
                    </m:r>
                  </m:lim>
                </m:limUpp>
              </m:e>
              <m:sub>
                <m:box>
                  <m:e>
                    <m:box>
                      <m:e>
                        <m:r>
                          <m:rPr>
                            <m:sty m:val="p"/>
                          </m:rPr>
                          <m:t>A</m:t>
                        </m:r>
                        <m:r>
                          <m:rPr>
                            <m:sty m:val="p"/>
                          </m:rPr>
                          <m:t>2</m:t>
                        </m:r>
                      </m:e>
                    </m:box>
                  </m:e>
                </m:box>
              </m:sub>
            </m:sSub>
          </m:e>
        </m:box>
      </m:oMath>
      <w:r>
        <w:rPr>
          <w:rFonts w:ascii="Times New Roman" w:hAnsi="Times New Roman"/>
          <w:sz w:val="24"/>
        </w:rPr>
        <w:t xml:space="preserve"> es la masa húmeda anual inferida que ingresa a A2 (kg/año)</w:t>
      </w:r>
      <w:r>
        <w:rPr>
          <w:rFonts w:ascii="Times New Roman" w:hAnsi="Times New Roman"/>
          <w:sz w:val="24"/>
        </w:rPr>
        <w:t xml:space="preserve">; </w:t>
      </w:r>
      <m:oMath>
        <m:box>
          <m:e>
            <m:sSub>
              <m:e>
                <m:r>
                  <m:rPr>
                    <m:sty m:val="i"/>
                  </m:rPr>
                  <m:t>m</m:t>
                </m:r>
              </m:e>
              <m:sub>
                <m:box>
                  <m:e>
                    <m:box>
                      <m:e>
                        <m:r>
                          <m:rPr>
                            <m:sty m:val="p"/>
                          </m:rPr>
                          <m:t>A</m:t>
                        </m:r>
                        <m:r>
                          <m:rPr>
                            <m:sty m:val="p"/>
                          </m:rPr>
                          <m:t>1</m:t>
                        </m:r>
                      </m:e>
                    </m:box>
                  </m:e>
                </m:box>
              </m:sub>
            </m:sSub>
          </m:e>
        </m:box>
      </m:oMath>
      <w:r>
        <w:rPr>
          <w:rFonts w:ascii="Times New Roman" w:hAnsi="Times New Roman"/>
          <w:sz w:val="24"/>
        </w:rPr>
        <w:t xml:space="preserve"> es la masa húmeda anual de entrada a A1 (kg/año)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Antes de estimar CH₄, el porcentaje de sólidos volátiles (SV) en base seca se convirtió a fracción de SV en base húmeda mediante la materia seca gravimétrica de la etapa.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r>
              <m:rPr>
                <m:sty m:val="p"/>
              </m:rPr>
              <m:t>=</m:t>
            </m:r>
            <m:box>
              <m:e>
                <m:d>
                  <m:dPr>
                    <m:begChr m:val="("/>
                    <m:endChr m:val=")"/>
                  </m:dPr>
                  <m:e>
                    <m:box>
                      <m:e>
                        <m:f>
                          <m:num>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num>
                          <m:den>
                            <m:box>
                              <m:e>
                                <m:r>
                                  <m:rPr>
                                    <m:sty m:val="p"/>
                                  </m:rPr>
                                  <m:t>100</m:t>
                                </m:r>
                              </m:e>
                            </m:box>
                          </m:den>
                        </m:f>
                      </m:e>
                    </m:box>
                  </m:e>
                </m:d>
              </m:e>
            </m:box>
            <m:box>
              <m:e>
                <m:d>
                  <m:dPr>
                    <m:begChr m:val="("/>
                    <m:endChr m:val=")"/>
                  </m:dPr>
                  <m:e>
                    <m:box>
                      <m:e>
                        <m:f>
                          <m:num>
                            <m:box>
                              <m:e>
                                <m:r>
                                  <m:rPr>
                                    <m:sty m:val="i"/>
                                  </m:rPr>
                                  <m:t>M</m:t>
                                </m:r>
                                <m:r>
                                  <m:rPr>
                                    <m:sty m:val="i"/>
                                  </m:rPr>
                                  <m:t>S</m:t>
                                </m:r>
                              </m:e>
                            </m:box>
                          </m:num>
                          <m:den>
                            <m:box>
                              <m:e>
                                <m:r>
                                  <m:rPr>
                                    <m:sty m:val="p"/>
                                  </m:rPr>
                                  <m:t>100</m:t>
                                </m:r>
                              </m:e>
                            </m:box>
                          </m:den>
                        </m:f>
                      </m:e>
                    </m:box>
                  </m:e>
                </m:d>
              </m:e>
            </m:box>
          </m:e>
        </m:box>
      </m:oMath>
      <w:r>
        <w:rPr>
          <w:rFonts w:ascii="Times New Roman" w:hAnsi="Times New Roman"/>
          <w:sz w:val="24"/>
        </w:rPr>
        <w:tab/>
        <w:t>(4)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de sólidos volátiles en base húmeda (kg SV/kg de muestra húmeda; adimensional)</w:t>
      </w:r>
      <w:r>
        <w:rPr>
          <w:rFonts w:ascii="Times New Roman" w:hAnsi="Times New Roman"/>
          <w:sz w:val="24"/>
        </w:rPr>
        <w:t xml:space="preserve">; </w:t>
      </w:r>
      <m:oMath>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oMath>
      <w:r>
        <w:rPr>
          <w:rFonts w:ascii="Times New Roman" w:hAnsi="Times New Roman"/>
          <w:sz w:val="24"/>
        </w:rPr>
        <w:t xml:space="preserve"> es el contenido de sólidos volátiles expresado respecto de la materia seca (%)</w:t>
      </w:r>
      <w:r>
        <w:rPr>
          <w:rFonts w:ascii="Times New Roman" w:hAnsi="Times New Roman"/>
          <w:sz w:val="24"/>
        </w:rPr>
        <w:t xml:space="preserve">; </w:t>
      </w:r>
      <m:oMath>
        <m:box>
          <m:e>
            <m:r>
              <m:rPr>
                <m:sty m:val="i"/>
              </m:rPr>
              <m:t>M</m:t>
            </m:r>
            <m:r>
              <m:rPr>
                <m:sty m:val="i"/>
              </m:rPr>
              <m:t>S</m:t>
            </m:r>
          </m:e>
        </m:box>
      </m:oMath>
      <w:r>
        <w:rPr>
          <w:rFonts w:ascii="Times New Roman" w:hAnsi="Times New Roman"/>
          <w:sz w:val="24"/>
        </w:rPr>
        <w:t xml:space="preserve"> es el contenido gravimétrico de materia seca respecto de la masa húmeda (%)</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las fronteras frescas A1, A3 y B1, la masa anual de N total de entrada se obtuvo a partir de la masa fresca de estiércol —sin sumar el agua de lavado— y su fracción másica de N. Las mediciones intermedias se conservaron como referencias experimentales y no reinicializaron el balance.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t/>
            </m:r>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ab/>
        <w:t>(5)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frontera (kg N/año)</w:t>
      </w:r>
      <w:r>
        <w:rPr>
          <w:rFonts w:ascii="Times New Roman" w:hAnsi="Times New Roman"/>
          <w:sz w:val="24"/>
        </w:rPr>
        <w:t xml:space="preserve">; </w:t>
      </w:r>
      <m:oMath>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oMath>
      <w:r>
        <w:rPr>
          <w:rFonts w:ascii="Times New Roman" w:hAnsi="Times New Roman"/>
          <w:sz w:val="24"/>
        </w:rPr>
        <w:t xml:space="preserve"> es la masa anual de estiércol fresco correspondiente (kg de estiércol/año)</w:t>
      </w:r>
      <w:r>
        <w:rPr>
          <w:rFonts w:ascii="Times New Roman" w:hAnsi="Times New Roman"/>
          <w:sz w:val="24"/>
        </w:rPr>
        <w:t xml:space="preserve">; </w:t>
      </w:r>
      <m:oMath>
        <m:box>
          <m:e>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másica de N en base húmeda (kg N/kg de estiércol; adimensional)</w:t>
      </w:r>
      <w:r>
        <w:rPr>
          <w:rFonts w:ascii="Times New Roman" w:hAnsi="Times New Roman"/>
          <w:sz w:val="24"/>
        </w:rPr>
        <w:t>.</w:t>
      </w:r>
    </w:p>
    <w:p>
      <w:pPr>
        <w:pStyle w:val="Heading2"/>
      </w:pPr>
      <w:r>
        <w:rPr>
          <w:rFonts w:ascii="Times New Roman" w:hAnsi="Times New Roman"/>
          <w:color w:val="000000"/>
        </w:rPr>
        <w:t>4.6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spacing w:line="240" w:lineRule="auto" w:before="0" w:after="0"/>
        <w:ind w:left="100" w:firstLine="719"/>
        <w:jc w:val="both"/>
      </w:pPr>
      <w:r>
        <w:rPr>
          <w:rFonts w:ascii="Times New Roman" w:hAnsi="Times New Roman"/>
          <w:sz w:val="24"/>
        </w:rPr>
        <w:t>El contraste provisional se realizó sobre dos bases. Para A1 se comparó el N residual modelado después del precomposteo con una referencia derivada del N medido en el precompostado, convertido a base húmeda y multiplicado por la masa húmeda inferida de A2. Para A3 y B1 se comparó la concentración de N propagado, expresada sobre la mezcla anual teórica de estiércol y agua de lavado, con la concentración de N total medida en M2 para aguas verdes y purines, respectivamente.</w:t>
      </w:r>
    </w:p>
    <w:p>
      <w:pPr>
        <w:spacing w:line="240" w:lineRule="auto" w:before="0" w:after="0"/>
        <w:ind w:left="100" w:firstLine="719"/>
        <w:jc w:val="both"/>
      </w:pPr>
      <w:r>
        <w:rPr>
          <w:rFonts w:ascii="Times New Roman" w:hAnsi="Times New Roman"/>
          <w:sz w:val="24"/>
        </w:rPr>
        <w:t>En los tres casos, la diferencia absoluta se calculó como estimación modelada menos referencia. La diferencia relativa utilizó la referencia como denominador y se expresó en porcentaje. La diferencia absoluta de A1 se expresó en kg N/año; en los líquidos se expresó en puntos porcentuales de N. Los cálculos conservaron la precisión interna y la presentación se redondeó a una decimal para masas y diferencias relativas, y a cuatro decimales para las concentraciones pequeñas y sus diferencias; estos cuatro decimales permiten distinguir las magnitudes comparadas, pero no representan mayor precisión analítica formal de las mediciones del CIA. Estas comparaciones examinan la plausibilidad del balance, pero no constituyen balances experimentales cerrados ni una validación experimental de los factores IPCC–EMEP/EEA.</w:t>
      </w:r>
    </w:p>
    <w:p>
      <w:pPr>
        <w:pStyle w:val="Heading3"/>
      </w:pPr>
      <w:r>
        <w:rPr>
          <w:rFonts w:ascii="Times New Roman" w:hAnsi="Times New Roman"/>
          <w:color w:val="000000"/>
        </w:rPr>
        <w:t>4.6.1 Metano de las etapas de manejo</w:t>
      </w:r>
    </w:p>
    <w:p>
      <w:pPr>
        <w:keepNext/>
        <w:spacing w:line="240" w:lineRule="auto" w:before="0" w:after="0"/>
        <w:ind w:left="100" w:firstLine="719"/>
        <w:jc w:val="both"/>
      </w:pPr>
      <w:r>
        <w:rPr>
          <w:rFonts w:ascii="Times New Roman" w:hAnsi="Times New Roman"/>
          <w:sz w:val="24"/>
        </w:rPr>
        <w:t>La emisión anual de CH₄ de cada etapa de manejo se estimó a partir de la masa húmeda tratada, su contenido de sólidos volátiles y los factores del IPCC aplicables.</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(6)</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C</m:t>
                        </m:r>
                        <m:sSub>
                          <m:e>
                            <m:r>
                              <m:rPr>
                                <m:sty m:val="p"/>
                              </m:rPr>
                              <m:t>H</m:t>
                            </m:r>
                          </m:e>
                          <m:sub>
                            <m:r>
                              <m:rPr>
                                <m:sty m:val="p"/>
                              </m:rPr>
                              <m:t>4</m:t>
                            </m:r>
                          </m:sub>
                        </m:sSub>
                      </m:e>
                    </m:box>
                  </m:e>
                </m:box>
              </m:sub>
            </m:sSub>
          </m:e>
        </m:box>
      </m:oMath>
      <w:r>
        <w:rPr>
          <w:rFonts w:ascii="Times New Roman" w:hAnsi="Times New Roman"/>
          <w:sz w:val="24"/>
        </w:rPr>
        <w:t xml:space="preserve"> es la masa anual de metano emitida por la etapa (kg CH₄/año)</w:t>
      </w:r>
      <w:r>
        <w:rPr>
          <w:rFonts w:ascii="Times New Roman" w:hAnsi="Times New Roman"/>
          <w:sz w:val="24"/>
        </w:rPr>
        <w:t xml:space="preserve">; </w:t>
      </w:r>
      <m:oMath>
        <m:box>
          <m:e>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e>
        </m:box>
      </m:oMath>
      <w:r>
        <w:rPr>
          <w:rFonts w:ascii="Times New Roman" w:hAnsi="Times New Roman"/>
          <w:sz w:val="24"/>
        </w:rPr>
        <w:t xml:space="preserve"> es la masa húmeda anual tratada en la etapa (kg/año)</w:t>
      </w:r>
      <w:r>
        <w:rPr>
          <w:rFonts w:ascii="Times New Roman" w:hAnsi="Times New Roman"/>
          <w:sz w:val="24"/>
        </w:rPr>
        <w:t xml:space="preserve">; </w:t>
      </w:r>
      <m:oMath>
        <m:box>
          <m:e>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de sólidos volátiles en base húmeda calculada como en la ecuación (4) (kg SV/kg de muestra húmeda; adimensional)</w:t>
      </w:r>
      <w:r>
        <w:rPr>
          <w:rFonts w:ascii="Times New Roman" w:hAnsi="Times New Roman"/>
          <w:sz w:val="24"/>
        </w:rPr>
        <w:t xml:space="preserve">; </w:t>
      </w:r>
      <m:oMath>
        <m:box>
          <m:e>
            <m:sSub>
              <m:e>
                <m:r>
                  <m:rPr>
                    <m:sty m:val="i"/>
                  </m:rPr>
                  <m:t>B</m:t>
                </m:r>
              </m:e>
              <m:sub>
                <m:r>
                  <m:rPr>
                    <m:sty m:val="p"/>
                  </m:rPr>
                  <m:t>0</m:t>
                </m:r>
              </m:sub>
            </m:sSub>
          </m:e>
        </m:box>
      </m:oMath>
      <w:r>
        <w:rPr>
          <w:rFonts w:ascii="Times New Roman" w:hAnsi="Times New Roman"/>
          <w:sz w:val="24"/>
        </w:rPr>
        <w:t xml:space="preserve"> es la capacidad máxima de producción de metano (m³ CH₄/kg SV)</w:t>
      </w:r>
      <w:r>
        <w:rPr>
          <w:rFonts w:ascii="Times New Roman" w:hAnsi="Times New Roman"/>
          <w:sz w:val="24"/>
        </w:rPr>
        <w:t xml:space="preserve">; </w:t>
      </w:r>
      <m:oMath>
        <m:box>
          <m:e>
            <m:sSub>
              <m:e>
                <m:r>
                  <m:rPr>
                    <m:sty m:val="i"/>
                  </m:rPr>
                  <m:t>ρ</m:t>
                </m:r>
              </m:e>
              <m:sub>
                <m:box>
                  <m:e>
                    <m:box>
                      <m:e>
                        <m:r>
                          <m:rPr>
                            <m:sty m:val="p"/>
                          </m:rPr>
                          <m:t>C</m:t>
                        </m:r>
                        <m:sSub>
                          <m:e>
                            <m:r>
                              <m:rPr>
                                <m:sty m:val="p"/>
                              </m:rPr>
                              <m:t>H</m:t>
                            </m:r>
                          </m:e>
                          <m:sub>
                            <m:r>
                              <m:rPr>
                                <m:sty m:val="p"/>
                              </m:rPr>
                              <m:t>4</m:t>
                            </m:r>
                          </m:sub>
                        </m:sSub>
                      </m:e>
                    </m:box>
                  </m:e>
                </m:box>
              </m:sub>
            </m:sSub>
          </m:e>
        </m:box>
      </m:oMath>
      <w:r>
        <w:rPr>
          <w:rFonts w:ascii="Times New Roman" w:hAnsi="Times New Roman"/>
          <w:sz w:val="24"/>
        </w:rPr>
        <w:t xml:space="preserve"> es el factor de conversión de volumen a masa del IPCC, igual a 0,67 kg CH₄/m³ CH₄</w:t>
      </w:r>
      <w:r>
        <w:rPr>
          <w:rFonts w:ascii="Times New Roman" w:hAnsi="Times New Roman"/>
          <w:sz w:val="24"/>
        </w:rPr>
        <w:t xml:space="preserve">; </w:t>
      </w:r>
      <m:oMath>
        <m:box>
          <m:e>
            <m:r>
              <m:rPr>
                <m:sty m:val="i"/>
              </m:rPr>
              <m:t>M</m:t>
            </m:r>
            <m:r>
              <m:rPr>
                <m:sty m:val="i"/>
              </m:rPr>
              <m:t>C</m:t>
            </m:r>
            <m:r>
              <m:rPr>
                <m:sty m:val="i"/>
              </m:rPr>
              <m:t>F</m:t>
            </m:r>
          </m:e>
        </m:box>
      </m:oMath>
      <w:r>
        <w:rPr>
          <w:rFonts w:ascii="Times New Roman" w:hAnsi="Times New Roman"/>
          <w:sz w:val="24"/>
        </w:rPr>
        <w:t xml:space="preserve"> es el factor de conversión de metano expresado en porcentaje (%)</w:t>
      </w:r>
      <w:r>
        <w:rPr>
          <w:rFonts w:ascii="Times New Roman" w:hAnsi="Times New Roman"/>
          <w:sz w:val="24"/>
        </w:rPr>
        <w:t xml:space="preserve">; </w:t>
      </w:r>
      <m:oMath>
        <m:box>
          <m:e>
            <m:r>
              <m:rPr>
                <m:sty m:val="i"/>
              </m:rPr>
              <m:t>A</m:t>
            </m:r>
            <m:r>
              <m:rPr>
                <m:sty m:val="i"/>
              </m:rPr>
              <m:t>W</m:t>
            </m:r>
            <m:r>
              <m:rPr>
                <m:sty m:val="i"/>
              </m:rPr>
              <m:t>M</m:t>
            </m:r>
            <m:r>
              <m:rPr>
                <m:sty m:val="i"/>
              </m:rPr>
              <m:t>S</m:t>
            </m:r>
          </m:e>
        </m:box>
      </m:oMath>
      <w:r>
        <w:rPr>
          <w:rFonts w:ascii="Times New Roman" w:hAnsi="Times New Roman"/>
          <w:sz w:val="24"/>
        </w:rPr>
        <w:t xml:space="preserve"> es la fracción de la corriente asignada al sistema de manejo de desechos animales (kg/kg; adimensional)</w:t>
      </w:r>
      <w:r>
        <w:rPr>
          <w:rFonts w:ascii="Times New Roman" w:hAnsi="Times New Roman"/>
          <w:sz w:val="24"/>
        </w:rPr>
        <w:t>.</w:t>
      </w:r>
    </w:p>
    <w:p>
      <w:pPr>
        <w:pStyle w:val="Heading3"/>
      </w:pPr>
      <w:r>
        <w:rPr>
          <w:rFonts w:ascii="Times New Roman" w:hAnsi="Times New Roman"/>
          <w:color w:val="000000"/>
        </w:rPr>
        <w:t>4.6.2 Balance secuencial de N total y TAN</w:t>
      </w:r>
    </w:p>
    <w:p>
      <w:pPr>
        <w:keepNext/>
        <w:spacing w:line="240" w:lineRule="auto" w:before="0" w:after="0"/>
        <w:ind w:left="100" w:firstLine="719"/>
        <w:jc w:val="both"/>
      </w:pPr>
      <w:r>
        <w:rPr>
          <w:rFonts w:ascii="Times New Roman" w:hAnsi="Times New Roman"/>
          <w:sz w:val="24"/>
        </w:rPr>
        <w:t>La reserva inicial de TAN se estableció como el 60 % del N total únicamente en las fronteras de estiércol fresco.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(7)</w:t>
      </w:r>
    </w:p>
    <w:p>
      <w:pPr>
        <w:keepLines/>
        <w:spacing w:line="240" w:lineRule="auto" w:before="0" w:after="0"/>
        <w:ind w:left="100" w:firstLine="719"/>
        <w:jc w:val="both"/>
      </w:pPr>
      <w:r>
        <w:rPr>
          <w:rFonts w:ascii="Times New Roman" w:hAnsi="Times New Roman"/>
          <w:b/>
          <w:sz w:val="24"/>
        </w:rPr>
        <w:t xml:space="preserve">Donde: </w:t>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 xml:space="preserve"> es la masa anual de nitrógeno amoniacal total en la frontera fresca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 xml:space="preserve"> es la masa anual de N total del estiércol fresco (kg N/año)</w:t>
      </w:r>
      <w:r>
        <w:rPr>
          <w:rFonts w:ascii="Times New Roman" w:hAnsi="Times New Roman"/>
          <w:sz w:val="24"/>
        </w:rPr>
        <w:t xml:space="preserve">; </w:t>
      </w:r>
      <m:oMath>
        <m:box>
          <m:e>
            <m:r>
              <m:rPr>
                <m:sty m:val="p"/>
              </m:rPr>
              <m:t>0</m:t>
            </m:r>
            <m:box>
              <m:e>
                <m:r>
                  <m:rPr>
                    <m:sty m:val="p"/>
                  </m:rPr>
                  <m:t>,</m:t>
                </m:r>
              </m:e>
            </m:box>
            <m:r>
              <m:rPr>
                <m:sty m:val="p"/>
              </m:rPr>
              <m:t>60</m:t>
            </m:r>
          </m:e>
        </m:box>
      </m:oMath>
      <w:r>
        <w:rPr>
          <w:rFonts w:ascii="Times New Roman" w:hAnsi="Times New Roman"/>
          <w:sz w:val="24"/>
        </w:rPr>
        <w:t xml:space="preserve"> es la fracción inicial de TAN respecto del N total (kg N/kg N;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A3 y B1, la mineralización se calculó sobre el N orgánico, definido como la diferencia entre N total y TAN de entrada, antes de estimar en paralelo las pérdidas EMEP/EEA sobre el TAN disponible.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r>
              <m:rPr>
                <m:sty m:val="p"/>
              </m:rPr>
              <m:t>=</m:t>
            </m:r>
            <m:box>
              <m:e>
                <m:d>
                  <m:dPr>
                    <m:begChr m:val="("/>
                    <m:endChr m:val=")"/>
                  </m:dPr>
                  <m:e>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e>
                </m:d>
              </m:e>
            </m:box>
            <m:sSub>
              <m:e>
                <m:r>
                  <m:rPr>
                    <m:sty m:val="i"/>
                  </m:rPr>
                  <m:t>f</m:t>
                </m:r>
              </m:e>
              <m:sub>
                <m:box>
                  <m:e>
                    <m:box>
                      <m:e>
                        <m:r>
                          <m:rPr>
                            <m:sty m:val="p"/>
                          </m:rPr>
                          <m:t>m</m:t>
                        </m:r>
                        <m:r>
                          <m:rPr>
                            <m:sty m:val="p"/>
                          </m:rPr>
                          <m:t>i</m:t>
                        </m:r>
                        <m:r>
                          <m:rPr>
                            <m:sty m:val="p"/>
                          </m:rPr>
                          <m:t>n</m:t>
                        </m:r>
                      </m:e>
                    </m:box>
                  </m:e>
                </m:box>
              </m:sub>
            </m:sSub>
            <m:r>
              <m:rPr>
                <m:sty m:val="i"/>
              </m:rPr>
              <m:t>;</m:t>
            </m:r>
            <m:r>
              <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(8)</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 xml:space="preserve"> es la masa anual de N orgánico que pasa a la reserva de TAN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TAN que ingresa a la etapa (kg N/año)</w:t>
      </w:r>
      <w:r>
        <w:rPr>
          <w:rFonts w:ascii="Times New Roman" w:hAnsi="Times New Roman"/>
          <w:sz w:val="24"/>
        </w:rPr>
        <w:t xml:space="preserve">; </w:t>
      </w:r>
      <m:oMath>
        <m:box>
          <m:e>
            <m:sSub>
              <m:e>
                <m:r>
                  <m:rPr>
                    <m:sty m:val="i"/>
                  </m:rPr>
                  <m:t>f</m:t>
                </m:r>
              </m:e>
              <m:sub>
                <m:box>
                  <m:e>
                    <m:box>
                      <m:e>
                        <m:r>
                          <m:rPr>
                            <m:sty m:val="p"/>
                          </m:rPr>
                          <m:t>m</m:t>
                        </m:r>
                        <m:r>
                          <m:rPr>
                            <m:sty m:val="p"/>
                          </m:rPr>
                          <m:t>i</m:t>
                        </m:r>
                        <m:r>
                          <m:rPr>
                            <m:sty m:val="p"/>
                          </m:rPr>
                          <m:t>n</m:t>
                        </m:r>
                      </m:e>
                    </m:box>
                  </m:e>
                </m:box>
              </m:sub>
            </m:sSub>
          </m:e>
        </m:box>
      </m:oMath>
      <w:r>
        <w:rPr>
          <w:rFonts w:ascii="Times New Roman" w:hAnsi="Times New Roman"/>
          <w:sz w:val="24"/>
        </w:rPr>
        <w:t xml:space="preserve"> es la fracción de N orgánico mineralizada (kg N mineralizado/kg N orgánico; adimensional)</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e>
        </m:box>
      </m:oMath>
      <w:r>
        <w:rPr>
          <w:rFonts w:ascii="Times New Roman" w:hAnsi="Times New Roman"/>
          <w:sz w:val="24"/>
        </w:rPr>
        <w:t xml:space="preserve"> es la masa anual de TAN disponible después de la mineralización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(9)</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r>
                  <m:rPr>
                    <m:sty m:val="i"/>
                  </m:rPr>
                  <m:t>j</m:t>
                </m:r>
              </m:sub>
            </m:sSub>
          </m:e>
        </m:box>
      </m:oMath>
      <w:r>
        <w:rPr>
          <w:rFonts w:ascii="Times New Roman" w:hAnsi="Times New Roman"/>
          <w:sz w:val="24"/>
        </w:rPr>
        <w:t xml:space="preserve"> es la pérdida anual de N por la ruta j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e>
        </m:box>
      </m:oMath>
      <w:r>
        <w:rPr>
          <w:rFonts w:ascii="Times New Roman" w:hAnsi="Times New Roman"/>
          <w:sz w:val="24"/>
        </w:rPr>
        <w:t xml:space="preserve"> es la reserva anual de TAN disponible definida en la ecuación (8) (kg N/año)</w:t>
      </w:r>
      <w:r>
        <w:rPr>
          <w:rFonts w:ascii="Times New Roman" w:hAnsi="Times New Roman"/>
          <w:sz w:val="24"/>
        </w:rPr>
        <w:t xml:space="preserve">; </w:t>
      </w:r>
      <m:oMath>
        <m:box>
          <m:e>
            <m:sSub>
              <m:e>
                <m:r>
                  <m:rPr>
                    <m:sty m:val="i"/>
                  </m:rPr>
                  <m:t>f</m:t>
                </m:r>
              </m:e>
              <m:sub>
                <m:r>
                  <m:rPr>
                    <m:sty m:val="i"/>
                  </m:rPr>
                  <m:t>j</m:t>
                </m:r>
              </m:sub>
            </m:sSub>
          </m:e>
        </m:box>
      </m:oMath>
      <w:r>
        <w:rPr>
          <w:rFonts w:ascii="Times New Roman" w:hAnsi="Times New Roman"/>
          <w:sz w:val="24"/>
        </w:rPr>
        <w:t xml:space="preserve"> es el factor de pérdida de la ruta j respecto del TAN disponible (kg N de la especie/kg TAN; adimensional)</w:t>
      </w:r>
      <w:r>
        <w:rPr>
          <w:rFonts w:ascii="Times New Roman" w:hAnsi="Times New Roman"/>
          <w:sz w:val="24"/>
        </w:rPr>
        <w:t xml:space="preserve">; </w:t>
      </w:r>
      <m:oMath>
        <m:box>
          <m:e>
            <m:r>
              <m:rPr>
                <m:sty m:val="i"/>
              </m:rPr>
              <m:t>j</m:t>
            </m:r>
          </m:e>
        </m:box>
      </m:oMath>
      <w:r>
        <w:rPr>
          <w:rFonts w:ascii="Times New Roman" w:hAnsi="Times New Roman"/>
          <w:sz w:val="24"/>
        </w:rPr>
        <w:t xml:space="preserve"> identifica las rutas expresadas como NH₃-N, NO-N o N₂-N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cierre de TAN descuenta conjuntamente las tres pérdidas calculadas en paralelo sobre la misma reserva disponible; la ecuación no representa una secuencia ficticia de bases decrecientes.</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ab/>
        <w:t>(10)</w:t>
      </w:r>
    </w:p>
    <w:p>
      <w:pPr>
        <w:keepLines/>
        <w:spacing w:line="240" w:lineRule="auto" w:before="0" w:after="0"/>
        <w:ind w:left="100" w:firstLine="719"/>
        <w:jc w:val="both"/>
      </w:pPr>
      <w:r>
        <w:rPr>
          <w:rFonts w:ascii="Times New Roman" w:hAnsi="Times New Roman"/>
          <w:b/>
          <w:sz w:val="24"/>
        </w:rPr>
        <w:t xml:space="preserve">Donde: </w:t>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e>
        </m:box>
      </m:oMath>
      <w:r>
        <w:rPr>
          <w:rFonts w:ascii="Times New Roman" w:hAnsi="Times New Roman"/>
          <w:sz w:val="24"/>
        </w:rPr>
        <w:t xml:space="preserve"> es la masa anual de TAN que permanece a la salida de la etapa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expresada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expresada como NOx-N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 xml:space="preserve"> es la pérdida anual expresada como N₂-N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Como excepción exclusiva de A2, Komakech et al. (2016) aporta 12,8 g NH₃ por Mg de entrada húmeda; la masa de NH₃ se convierte después a NH₃-N mediante 14/17. Esta relación no reinicializa N total ni TAN, y NO-N y N₂-N continúan calculándose con EMEP/EEA.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box>
              <m:e>
                <m:d>
                  <m:dPr>
                    <m:begChr m:val="("/>
                    <m:endChr m:val=")"/>
                  </m:dPr>
                  <m:e>
                    <m:box>
                      <m:e>
                        <m:f>
                          <m:num>
                            <m:box>
                              <m:e>
                                <m:sSub>
                                  <m:e>
                                    <m:limUpp>
                                      <m:e>
                                        <m:r>
                                          <m:rPr>
                                            <m:sty m:val="i"/>
                                          </m:rPr>
                                          <m:t>m</m:t>
                                        </m:r>
                                      </m:e>
                                      <m:lim>
                                        <m:r>
                                          <m:rPr>
                                            <m:sty m:val="p"/>
                                          </m:rPr>
                                          <m:t>^</m:t>
                                        </m:r>
                                      </m:lim>
                                    </m:limUpp>
                                  </m:e>
                                  <m:sub>
                                    <m:box>
                                      <m:e>
                                        <m:box>
                                          <m:e>
                                            <m:r>
                                              <m:rPr>
                                                <m:sty m:val="p"/>
                                              </m:rPr>
                                              <m:t>A</m:t>
                                            </m:r>
                                            <m:r>
                                              <m:rPr>
                                                <m:sty m:val="p"/>
                                              </m:rPr>
                                              <m:t>2</m:t>
                                            </m:r>
                                          </m:e>
                                        </m:box>
                                      </m:e>
                                    </m:box>
                                  </m:sub>
                                </m:sSub>
                              </m:e>
                            </m:box>
                          </m:num>
                          <m:den>
                            <m:box>
                              <m:e>
                                <m:r>
                                  <m:rPr>
                                    <m:sty m:val="p"/>
                                  </m:rPr>
                                  <m:t>1000</m:t>
                                </m:r>
                                <m:r>
                                  <m:rPr>
                                    <m:nor/>
                                  </m:rPr>
                                  <m:t> </m:t>
                                </m:r>
                                <m:box>
                                  <m:e>
                                    <m:r>
                                      <m:rPr>
                                        <m:sty m:val="p"/>
                                      </m:rPr>
                                      <m:t>k</m:t>
                                    </m:r>
                                    <m:r>
                                      <m:rPr>
                                        <m:sty m:val="p"/>
                                      </m:rPr>
                                      <m:t>g</m:t>
                                    </m:r>
                                    <m:r>
                                      <m:rPr>
                                        <m:sty m:val="p"/>
                                      </m:rPr>
                                      <m:t>/</m:t>
                                    </m:r>
                                    <m:r>
                                      <m:rPr>
                                        <m:sty m:val="p"/>
                                      </m:rPr>
                                      <m:t>M</m:t>
                                    </m:r>
                                    <m:r>
                                      <m:rPr>
                                        <m:sty m:val="p"/>
                                      </m:rPr>
                                      <m:t>g</m:t>
                                    </m:r>
                                  </m:e>
                                </m:box>
                              </m:e>
                            </m:box>
                          </m:den>
                        </m:f>
                      </m:e>
                    </m:box>
                  </m:e>
                </m:d>
              </m:e>
            </m:box>
            <m:box>
              <m:e>
                <m:d>
                  <m:dPr>
                    <m:begChr m:val="("/>
                    <m:endChr m:val=")"/>
                  </m:dPr>
                  <m:e>
                    <m:box>
                      <m:e>
                        <m:r>
                          <m:rPr>
                            <m:sty m:val="p"/>
                          </m:rPr>
                          <m:t>12</m:t>
                        </m:r>
                        <m:box>
                          <m:e>
                            <m:r>
                              <m:rPr>
                                <m:sty m:val="p"/>
                              </m:rPr>
                              <m:t>,</m:t>
                            </m:r>
                          </m:e>
                        </m:box>
                        <m:r>
                          <m:rPr>
                            <m:sty m:val="p"/>
                          </m:rPr>
                          <m:t>8</m:t>
                        </m:r>
                        <m:r>
                          <m:rPr>
                            <m:nor/>
                          </m:rPr>
                          <m:t> </m:t>
                        </m:r>
                        <m:f>
                          <m:num>
                            <m:box>
                              <m:e>
                                <m:box>
                                  <m:e>
                                    <m:r>
                                      <m:rPr>
                                        <m:sty m:val="p"/>
                                      </m:rPr>
                                      <m:t>g</m:t>
                                    </m:r>
                                    <m:r>
                                      <m:rPr>
                                        <m:nor/>
                                      </m:rPr>
                                      <m:t> </m:t>
                                    </m:r>
                                    <m:r>
                                      <m:rPr>
                                        <m:sty m:val="p"/>
                                      </m:rPr>
                                      <m:t>N</m:t>
                                    </m:r>
                                    <m:sSub>
                                      <m:e>
                                        <m:r>
                                          <m:rPr>
                                            <m:sty m:val="p"/>
                                          </m:rPr>
                                          <m:t>H</m:t>
                                        </m:r>
                                      </m:e>
                                      <m:sub>
                                        <m:r>
                                          <m:rPr>
                                            <m:sty m:val="p"/>
                                          </m:rPr>
                                          <m:t>3</m:t>
                                        </m:r>
                                      </m:sub>
                                    </m:sSub>
                                  </m:e>
                                </m:box>
                              </m:e>
                            </m:box>
                          </m:num>
                          <m:den>
                            <m:box>
                              <m:e>
                                <m:box>
                                  <m:e>
                                    <m:r>
                                      <m:rPr>
                                        <m:sty m:val="p"/>
                                      </m:rPr>
                                      <m:t>M</m:t>
                                    </m:r>
                                    <m:r>
                                      <m:rPr>
                                        <m:sty m:val="p"/>
                                      </m:rPr>
                                      <m:t>g</m:t>
                                    </m:r>
                                  </m:e>
                                </m:box>
                              </m:e>
                            </m:box>
                          </m:den>
                        </m:f>
                      </m:e>
                    </m:box>
                  </m:e>
                </m:d>
              </m:e>
            </m:box>
            <m:box>
              <m:e>
                <m:d>
                  <m:dPr>
                    <m:begChr m:val="("/>
                    <m:endChr m:val=")"/>
                  </m:dPr>
                  <m:e>
                    <m:box>
                      <m:e>
                        <m:f>
                          <m:num>
                            <m:box>
                              <m:e>
                                <m:r>
                                  <m:rPr>
                                    <m:sty m:val="p"/>
                                  </m:rPr>
                                  <m:t>1</m:t>
                                </m:r>
                                <m:r>
                                  <m:rPr>
                                    <m:nor/>
                                  </m:rPr>
                                  <m:t> </m:t>
                                </m:r>
                                <m:box>
                                  <m:e>
                                    <m:r>
                                      <m:rPr>
                                        <m:sty m:val="p"/>
                                      </m:rPr>
                                      <m:t>k</m:t>
                                    </m:r>
                                    <m:r>
                                      <m:rPr>
                                        <m:sty m:val="p"/>
                                      </m:rPr>
                                      <m:t>g</m:t>
                                    </m:r>
                                  </m:e>
                                </m:box>
                              </m:e>
                            </m:box>
                          </m:num>
                          <m:den>
                            <m:box>
                              <m:e>
                                <m:r>
                                  <m:rPr>
                                    <m:sty m:val="p"/>
                                  </m:rPr>
                                  <m:t>1000</m:t>
                                </m:r>
                                <m:r>
                                  <m:rPr>
                                    <m:nor/>
                                  </m:rPr>
                                  <m:t> </m:t>
                                </m:r>
                                <m:r>
                                  <m:rPr>
                                    <m:sty m:val="i"/>
                                  </m:rPr>
                                  <m:t>g</m:t>
                                </m:r>
                              </m:e>
                            </m:box>
                          </m:den>
                        </m:f>
                      </m:e>
                    </m:box>
                  </m:e>
                </m:d>
              </m:e>
            </m:box>
            <m:r>
              <m:rPr>
                <m:sty m:val="i"/>
              </m:rPr>
              <m:t>;</m:t>
            </m:r>
            <m:r>
              <m:t/>
            </m:r>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f>
              <m:num>
                <m:box>
                  <m:e>
                    <m:r>
                      <m:rPr>
                        <m:sty m:val="p"/>
                      </m:rPr>
                      <m:t>14</m:t>
                    </m:r>
                  </m:e>
                </m:box>
              </m:num>
              <m:den>
                <m:box>
                  <m:e>
                    <m:r>
                      <m:rPr>
                        <m:sty m:val="p"/>
                      </m:rPr>
                      <m:t>17</m:t>
                    </m:r>
                  </m:e>
                </m:box>
              </m:den>
            </m:f>
          </m:e>
        </m:box>
      </m:oMath>
      <w:r>
        <w:rPr>
          <w:rFonts w:ascii="Times New Roman" w:hAnsi="Times New Roman"/>
          <w:sz w:val="24"/>
        </w:rPr>
        <w:tab/>
        <w:t>(11)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e>
        </m:box>
      </m:oMath>
      <w:r>
        <w:rPr>
          <w:rFonts w:ascii="Times New Roman" w:hAnsi="Times New Roman"/>
          <w:sz w:val="24"/>
        </w:rPr>
        <w:t xml:space="preserve"> es la masa anual de NH₃ emitida en A2 (kg NH₃/año)</w:t>
      </w:r>
      <w:r>
        <w:rPr>
          <w:rFonts w:ascii="Times New Roman" w:hAnsi="Times New Roman"/>
          <w:sz w:val="24"/>
        </w:rPr>
        <w:t xml:space="preserve">; </w:t>
      </w:r>
      <m:oMath>
        <m:box>
          <m:e>
            <m:sSub>
              <m:e>
                <m:limUpp>
                  <m:e>
                    <m:r>
                      <m:rPr>
                        <m:sty m:val="i"/>
                      </m:rPr>
                      <m:t>m</m:t>
                    </m:r>
                  </m:e>
                  <m:lim>
                    <m:r>
                      <m:rPr>
                        <m:sty m:val="p"/>
                      </m:rPr>
                      <m:t>^</m:t>
                    </m:r>
                  </m:lim>
                </m:limUpp>
              </m:e>
              <m:sub>
                <m:box>
                  <m:e>
                    <m:box>
                      <m:e>
                        <m:r>
                          <m:rPr>
                            <m:sty m:val="p"/>
                          </m:rPr>
                          <m:t>A</m:t>
                        </m:r>
                        <m:r>
                          <m:rPr>
                            <m:sty m:val="p"/>
                          </m:rPr>
                          <m:t>2</m:t>
                        </m:r>
                      </m:e>
                    </m:box>
                  </m:e>
                </m:box>
              </m:sub>
            </m:sSub>
          </m:e>
        </m:box>
      </m:oMath>
      <w:r>
        <w:rPr>
          <w:rFonts w:ascii="Times New Roman" w:hAnsi="Times New Roman"/>
          <w:sz w:val="24"/>
        </w:rPr>
        <w:t xml:space="preserve"> es la masa húmeda anual inferida que ingresa a A2 (kg/año)</w:t>
      </w:r>
      <w:r>
        <w:rPr>
          <w:rFonts w:ascii="Times New Roman" w:hAnsi="Times New Roman"/>
          <w:sz w:val="24"/>
        </w:rPr>
        <w:t xml:space="preserve">; </w:t>
      </w:r>
      <m:oMath>
        <m:box>
          <m:e>
            <m:r>
              <m:rPr>
                <m:sty m:val="p"/>
              </m:rPr>
              <m:t>12</m:t>
            </m:r>
            <m:box>
              <m:e>
                <m:r>
                  <m:rPr>
                    <m:sty m:val="p"/>
                  </m:rPr>
                  <m:t>,</m:t>
                </m:r>
              </m:e>
            </m:box>
            <m:r>
              <m:rPr>
                <m:sty m:val="p"/>
              </m:rPr>
              <m:t>8</m:t>
            </m:r>
            <m:r>
              <m:rPr>
                <m:nor/>
              </m:rPr>
              <m:t> </m:t>
            </m:r>
            <m:box>
              <m:e>
                <m:r>
                  <m:rPr>
                    <m:sty m:val="p"/>
                  </m:rPr>
                  <m:t>g</m:t>
                </m:r>
                <m:r>
                  <m:rPr>
                    <m:nor/>
                  </m:rPr>
                  <m:t> </m:t>
                </m:r>
                <m:r>
                  <m:rPr>
                    <m:sty m:val="p"/>
                  </m:rPr>
                  <m:t>N</m:t>
                </m:r>
                <m:sSub>
                  <m:e>
                    <m:r>
                      <m:rPr>
                        <m:sty m:val="p"/>
                      </m:rPr>
                      <m:t>H</m:t>
                    </m:r>
                  </m:e>
                  <m:sub>
                    <m:r>
                      <m:rPr>
                        <m:sty m:val="p"/>
                      </m:rPr>
                      <m:t>3</m:t>
                    </m:r>
                  </m:sub>
                </m:sSub>
                <m:r>
                  <m:rPr>
                    <m:sty m:val="p"/>
                  </m:rPr>
                  <m:t>/</m:t>
                </m:r>
                <m:r>
                  <m:rPr>
                    <m:sty m:val="p"/>
                  </m:rPr>
                  <m:t>M</m:t>
                </m:r>
                <m:r>
                  <m:rPr>
                    <m:sty m:val="p"/>
                  </m:rPr>
                  <m:t>g</m:t>
                </m:r>
              </m:e>
            </m:box>
          </m:e>
        </m:box>
      </m:oMath>
      <w:r>
        <w:rPr>
          <w:rFonts w:ascii="Times New Roman" w:hAnsi="Times New Roman"/>
          <w:sz w:val="24"/>
        </w:rPr>
        <w:t xml:space="preserve"> es el factor experimental aplicado a la entrada húmeda de A2</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e>
        </m:box>
      </m:oMath>
      <w:r>
        <w:rPr>
          <w:rFonts w:ascii="Times New Roman" w:hAnsi="Times New Roman"/>
          <w:sz w:val="24"/>
        </w:rPr>
        <w:t xml:space="preserve"> es la emisión anual de A2 expresada como NH₃-N (kg N/año)</w:t>
      </w:r>
      <w:r>
        <w:rPr>
          <w:rFonts w:ascii="Times New Roman" w:hAnsi="Times New Roman"/>
          <w:sz w:val="24"/>
        </w:rPr>
        <w:t xml:space="preserve">; </w:t>
      </w:r>
      <m:oMath>
        <m:box>
          <m:e>
            <m:f>
              <m:num>
                <m:box>
                  <m:e>
                    <m:r>
                      <m:rPr>
                        <m:sty m:val="p"/>
                      </m:rPr>
                      <m:t>14</m:t>
                    </m:r>
                  </m:e>
                </m:box>
              </m:num>
              <m:den>
                <m:box>
                  <m:e>
                    <m:r>
                      <m:rPr>
                        <m:sty m:val="p"/>
                      </m:rPr>
                      <m:t>17</m:t>
                    </m:r>
                  </m:e>
                </m:box>
              </m:den>
            </m:f>
          </m:e>
        </m:box>
      </m:oMath>
      <w:r>
        <w:rPr>
          <w:rFonts w:ascii="Times New Roman" w:hAnsi="Times New Roman"/>
          <w:sz w:val="24"/>
        </w:rPr>
        <w:t xml:space="preserve"> es la razón estequiométrica de masa de N por masa de NH₃ (kg N/kg NH₃)</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N₂O-N directo de las etapas de manejo se estimó con EF₃ sobre el N total de entrada.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(12)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expresada como N₂O-N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r>
              <m:rPr>
                <m:sty m:val="i"/>
              </m:rPr>
              <m:t>E</m:t>
            </m:r>
            <m:sSub>
              <m:e>
                <m:r>
                  <m:rPr>
                    <m:sty m:val="i"/>
                  </m:rPr>
                  <m:t>F</m:t>
                </m:r>
              </m:e>
              <m:sub>
                <m:r>
                  <m:rPr>
                    <m:sty m:val="p"/>
                  </m:rPr>
                  <m:t>3</m:t>
                </m:r>
              </m:sub>
            </m:sSub>
          </m:e>
        </m:box>
      </m:oMath>
      <w:r>
        <w:rPr>
          <w:rFonts w:ascii="Times New Roman" w:hAnsi="Times New Roman"/>
          <w:sz w:val="24"/>
        </w:rPr>
        <w:t xml:space="preserve"> es el factor de emisión directa del sistema de manejo (kg N₂O-N/kg N de entrada; adimensional en el balance másico de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masa de N₂O-N directo se convirtió a masa molecular de N₂O mediante la razón 44/28.</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(13)</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de N₂O (kg N₂O/año)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expresada como N₂O-N (kg N/año)</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es la razón de masa molecular de N₂O respecto del N contenido como N₂O-N (kg N₂O/kg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(14)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e>
        </m:box>
      </m:oMath>
      <w:r>
        <w:rPr>
          <w:rFonts w:ascii="Times New Roman" w:hAnsi="Times New Roman"/>
          <w:sz w:val="24"/>
        </w:rPr>
        <w:t xml:space="preserve"> es la masa anual de N total que permanece a la salida de la etapa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como NOx-N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 xml:space="preserve"> es la pérdida anual como N₂-N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pérdida anual directa como N₂O-N (kg N/año)</w:t>
      </w:r>
      <w:r>
        <w:rPr>
          <w:rFonts w:ascii="Times New Roman" w:hAnsi="Times New Roman"/>
          <w:sz w:val="24"/>
        </w:rPr>
        <w:t xml:space="preserve">; </w:t>
      </w:r>
      <m:oMath>
        <m:box>
          <m:e>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 xml:space="preserve"> es la pérdida anual de N por la ruta hídrica correspondiente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Las especies explícitas NH₃-N y NOx-N se sumaron para definir el precursor volatilizado que alimenta EF₄; FracGasMS permaneció solo como referencia de contraste.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(15)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masa anual de N volatilizado que actúa como precursor de N₂O indirecto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como NOx-N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indirecto por volatilización se obtuvo aplicando EF₄ al N precursor y convirtiendo N₂O-N a N₂O.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(16)</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emisión anual indirecta de N₂O por volatilización (kg N₂O/año)</w:t>
      </w:r>
      <w:r>
        <w:rPr>
          <w:rFonts w:ascii="Times New Roman" w:hAnsi="Times New Roman"/>
          <w:sz w:val="24"/>
        </w:rPr>
        <w:t xml:space="preserve">; </w:t>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masa anual de N precursor volatilizado (kg N/año)</w:t>
      </w:r>
      <w:r>
        <w:rPr>
          <w:rFonts w:ascii="Times New Roman" w:hAnsi="Times New Roman"/>
          <w:sz w:val="24"/>
        </w:rPr>
        <w:t xml:space="preserve">; </w:t>
      </w:r>
      <m:oMath>
        <m:box>
          <m:e>
            <m:r>
              <m:rPr>
                <m:sty m:val="i"/>
              </m:rPr>
              <m:t>E</m:t>
            </m:r>
            <m:sSub>
              <m:e>
                <m:r>
                  <m:rPr>
                    <m:sty m:val="i"/>
                  </m:rPr>
                  <m:t>F</m:t>
                </m:r>
              </m:e>
              <m:sub>
                <m:r>
                  <m:rPr>
                    <m:sty m:val="p"/>
                  </m:rPr>
                  <m:t>4</m:t>
                </m:r>
              </m:sub>
            </m:sSub>
          </m:e>
        </m:box>
      </m:oMath>
      <w:r>
        <w:rPr>
          <w:rFonts w:ascii="Times New Roman" w:hAnsi="Times New Roman"/>
          <w:sz w:val="24"/>
        </w:rPr>
        <w:t xml:space="preserve"> es el factor de emisión indirecta por volatilización (kg N₂O-N/kg N volatilizado;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pStyle w:val="Heading3"/>
      </w:pPr>
      <w:r>
        <w:rPr>
          <w:rFonts w:ascii="Times New Roman" w:hAnsi="Times New Roman"/>
          <w:color w:val="000000"/>
        </w:rPr>
        <w:t>4.6.3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keepNext/>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(17)</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e>
        </m:box>
      </m:oMath>
      <w:r>
        <w:rPr>
          <w:rFonts w:ascii="Times New Roman" w:hAnsi="Times New Roman"/>
          <w:sz w:val="24"/>
        </w:rPr>
        <w:t xml:space="preserve"> es la masa anual de N transferida desde A1 por la ruta hídrica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e>
        </m:box>
      </m:oMath>
      <w:r>
        <w:rPr>
          <w:rFonts w:ascii="Times New Roman" w:hAnsi="Times New Roman"/>
          <w:sz w:val="24"/>
        </w:rPr>
        <w:t xml:space="preserve"> es la masa anual de N total que ingresa a A1 (kg N/año)</w:t>
      </w:r>
      <w:r>
        <w:rPr>
          <w:rFonts w:ascii="Times New Roman" w:hAnsi="Times New Roman"/>
          <w:sz w:val="24"/>
        </w:rPr>
        <w:t xml:space="preserve">; </w:t>
      </w:r>
      <m:oMath>
        <m:box>
          <m:e>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 xml:space="preserve"> es la fracción de N transferida por lixiviación o escorrentía en A1 (kg N/kg N de entrada;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las aplicaciones al suelo, NH₃-N se estimó sobre el TAN propagado, mientras NOx-N se obtuvo sobre el N aplicado y se convirtió desde NO₂ mediante 14/46.</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(18)</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e>
        </m:box>
      </m:oMath>
      <w:r>
        <w:rPr>
          <w:rFonts w:ascii="Times New Roman" w:hAnsi="Times New Roman"/>
          <w:sz w:val="24"/>
        </w:rPr>
        <w:t xml:space="preserve"> es la pérdida anual por aplicación expresada como NH₃-N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TAN aplicada al suelo (kg N/año)</w:t>
      </w:r>
      <w:r>
        <w:rPr>
          <w:rFonts w:ascii="Times New Roman" w:hAnsi="Times New Roman"/>
          <w:sz w:val="24"/>
        </w:rPr>
        <w:t xml:space="preserve">; </w:t>
      </w:r>
      <m:oMath>
        <m:box>
          <m:e>
            <m:sSub>
              <m:e>
                <m:r>
                  <m:rPr>
                    <m:sty m:val="i"/>
                  </m:rPr>
                  <m:t>f</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el factor de volatilización por aplicación (kg NH₃-N/kg TAN; adimensional)</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e>
        </m:box>
      </m:oMath>
      <w:r>
        <w:rPr>
          <w:rFonts w:ascii="Times New Roman" w:hAnsi="Times New Roman"/>
          <w:sz w:val="24"/>
        </w:rPr>
        <w:t xml:space="preserve"> es la pérdida anual por aplicación expresada como NOx-N (kg N/año)</w:t>
      </w:r>
      <w:r>
        <w:rPr>
          <w:rFonts w:ascii="Times New Roman" w:hAnsi="Times New Roman"/>
          <w:sz w:val="24"/>
        </w:rPr>
        <w:t xml:space="preserve">; </w:t>
      </w:r>
      <m:oMath>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N de estiércol aplicada al suelo (kg N/año)</w:t>
      </w:r>
      <w:r>
        <w:rPr>
          <w:rFonts w:ascii="Times New Roman" w:hAnsi="Times New Roman"/>
          <w:sz w:val="24"/>
        </w:rPr>
        <w:t xml:space="preserve">; </w:t>
      </w:r>
      <m:oMath>
        <m:box>
          <m:e>
            <m:sSub>
              <m:e>
                <m:r>
                  <m:rPr>
                    <m:sty m:val="i"/>
                  </m:rPr>
                  <m:t>f</m:t>
                </m:r>
              </m:e>
              <m:sub>
                <m:box>
                  <m:e>
                    <m:box>
                      <m:e>
                        <m:r>
                          <m:rPr>
                            <m:sty m:val="p"/>
                          </m:rPr>
                          <m:t>N</m:t>
                        </m:r>
                        <m:sSub>
                          <m:e>
                            <m:r>
                              <m:rPr>
                                <m:sty m:val="p"/>
                              </m:rPr>
                              <m:t>O</m:t>
                            </m:r>
                          </m:e>
                          <m:sub>
                            <m:r>
                              <m:rPr>
                                <m:sty m:val="p"/>
                              </m:rPr>
                              <m:t>2</m:t>
                            </m:r>
                          </m:sub>
                        </m:sSub>
                      </m:e>
                    </m:box>
                  </m:e>
                </m:box>
              </m:sub>
            </m:sSub>
          </m:e>
        </m:box>
      </m:oMath>
      <w:r>
        <w:rPr>
          <w:rFonts w:ascii="Times New Roman" w:hAnsi="Times New Roman"/>
          <w:sz w:val="24"/>
        </w:rPr>
        <w:t xml:space="preserve"> es el factor de emisión expresado como masa de NO₂ por masa de N aplicada (kg NO₂/kg N)</w:t>
      </w:r>
      <w:r>
        <w:rPr>
          <w:rFonts w:ascii="Times New Roman" w:hAnsi="Times New Roman"/>
          <w:sz w:val="24"/>
        </w:rPr>
        <w:t xml:space="preserve">; </w:t>
      </w:r>
      <m:oMath>
        <m:box>
          <m:e>
            <m:f>
              <m:num>
                <m:box>
                  <m:e>
                    <m:r>
                      <m:rPr>
                        <m:sty m:val="p"/>
                      </m:rPr>
                      <m:t>14</m:t>
                    </m:r>
                  </m:e>
                </m:box>
              </m:num>
              <m:den>
                <m:box>
                  <m:e>
                    <m:r>
                      <m:rPr>
                        <m:sty m:val="p"/>
                      </m:rPr>
                      <m:t>46</m:t>
                    </m:r>
                  </m:e>
                </m:box>
              </m:den>
            </m:f>
          </m:e>
        </m:box>
      </m:oMath>
      <w:r>
        <w:rPr>
          <w:rFonts w:ascii="Times New Roman" w:hAnsi="Times New Roman"/>
          <w:sz w:val="24"/>
        </w:rPr>
        <w:t xml:space="preserve"> es la razón estequiométrica que convierte NO₂ a masa de N (kg N/kg NO₂)</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directo del suelo se estimó con EF₁ sobre el N propagado y aplicado, no sobre la masa equivalente de la mezcla.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(19)</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emisión anual directa de N₂O del suelo (kg N₂O/año)</w:t>
      </w:r>
      <w:r>
        <w:rPr>
          <w:rFonts w:ascii="Times New Roman" w:hAnsi="Times New Roman"/>
          <w:sz w:val="24"/>
        </w:rPr>
        <w:t xml:space="preserve">; </w:t>
      </w:r>
      <m:oMath>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N de estiércol aplicada al suelo (kg N/año)</w:t>
      </w:r>
      <w:r>
        <w:rPr>
          <w:rFonts w:ascii="Times New Roman" w:hAnsi="Times New Roman"/>
          <w:sz w:val="24"/>
        </w:rPr>
        <w:t xml:space="preserve">; </w:t>
      </w:r>
      <m:oMath>
        <m:box>
          <m:e>
            <m:r>
              <m:rPr>
                <m:sty m:val="i"/>
              </m:rPr>
              <m:t>E</m:t>
            </m:r>
            <m:sSub>
              <m:e>
                <m:r>
                  <m:rPr>
                    <m:sty m:val="i"/>
                  </m:rPr>
                  <m:t>F</m:t>
                </m:r>
              </m:e>
              <m:sub>
                <m:r>
                  <m:rPr>
                    <m:sty m:val="p"/>
                  </m:rPr>
                  <m:t>1</m:t>
                </m:r>
              </m:sub>
            </m:sSub>
          </m:e>
        </m:box>
      </m:oMath>
      <w:r>
        <w:rPr>
          <w:rFonts w:ascii="Times New Roman" w:hAnsi="Times New Roman"/>
          <w:sz w:val="24"/>
        </w:rPr>
        <w:t xml:space="preserve"> es el factor de emisión directa de N del suelo (kg N₂O-N/kg N aplicado;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 lixiviado o escurrido se estimó únicamente en las rutas hídricas justificadas a partir del N que ingresa al suelo.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(20)</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perdida por lixiviación o escorrentía (kg N/año)</w:t>
      </w:r>
      <w:r>
        <w:rPr>
          <w:rFonts w:ascii="Times New Roman" w:hAnsi="Times New Roman"/>
          <w:sz w:val="24"/>
        </w:rPr>
        <w:t xml:space="preserve">; </w:t>
      </w:r>
      <m:oMath>
        <m:box>
          <m:e>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masa anual de N que ingresa al suelo por la ruta correspondiente (kg N/año)</w:t>
      </w:r>
      <w:r>
        <w:rPr>
          <w:rFonts w:ascii="Times New Roman" w:hAnsi="Times New Roman"/>
          <w:sz w:val="24"/>
        </w:rPr>
        <w:t xml:space="preserve">; </w:t>
      </w:r>
      <m:oMath>
        <m:box>
          <m:e>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fracción de N perdida por lixiviación o escorrentía (kg N/kg N de entrada;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masa de N lixiviado o escurrido se expresó como NO₃⁻ mediante la razón estequiométrica 62/14.</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(21)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e>
        </m:box>
      </m:oMath>
      <w:r>
        <w:rPr>
          <w:rFonts w:ascii="Times New Roman" w:hAnsi="Times New Roman"/>
          <w:sz w:val="24"/>
        </w:rPr>
        <w:t xml:space="preserve"> es la masa anual equivalente de nitrato asociada con la pérdida hídrica (kg NO₃⁻/año)</w:t>
      </w:r>
      <w:r>
        <w:rPr>
          <w:rFonts w:ascii="Times New Roman" w:hAnsi="Times New Roman"/>
          <w:sz w:val="24"/>
        </w:rPr>
        <w:t xml:space="preserv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lixiviado o escurrido (kg N/año)</w:t>
      </w:r>
      <w:r>
        <w:rPr>
          <w:rFonts w:ascii="Times New Roman" w:hAnsi="Times New Roman"/>
          <w:sz w:val="24"/>
        </w:rPr>
        <w:t xml:space="preserve">; </w:t>
      </w:r>
      <m:oMath>
        <m:box>
          <m:e>
            <m:f>
              <m:num>
                <m:box>
                  <m:e>
                    <m:r>
                      <m:rPr>
                        <m:sty m:val="p"/>
                      </m:rPr>
                      <m:t>62</m:t>
                    </m:r>
                  </m:e>
                </m:box>
              </m:num>
              <m:den>
                <m:box>
                  <m:e>
                    <m:r>
                      <m:rPr>
                        <m:sty m:val="p"/>
                      </m:rPr>
                      <m:t>14</m:t>
                    </m:r>
                  </m:e>
                </m:box>
              </m:den>
            </m:f>
          </m:e>
        </m:box>
      </m:oMath>
      <w:r>
        <w:rPr>
          <w:rFonts w:ascii="Times New Roman" w:hAnsi="Times New Roman"/>
          <w:sz w:val="24"/>
        </w:rPr>
        <w:t xml:space="preserve"> es la razón de masa molecular de NO₃⁻ respecto del N contenido (kg NO₃⁻/kg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indirecto de la ruta hídrica se calculó con EF₅ y la conversión de N₂O-N a N₂O.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(22)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e>
        </m:box>
      </m:oMath>
      <w:r>
        <w:rPr>
          <w:rFonts w:ascii="Times New Roman" w:hAnsi="Times New Roman"/>
          <w:sz w:val="24"/>
        </w:rPr>
        <w:t xml:space="preserve"> es la emisión anual indirecta de N₂O por lixiviación o escorrentía (kg N₂O/año)</w:t>
      </w:r>
      <w:r>
        <w:rPr>
          <w:rFonts w:ascii="Times New Roman" w:hAnsi="Times New Roman"/>
          <w:sz w:val="24"/>
        </w:rPr>
        <w:t xml:space="preserv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lixiviado o escurrido (kg N/año)</w:t>
      </w:r>
      <w:r>
        <w:rPr>
          <w:rFonts w:ascii="Times New Roman" w:hAnsi="Times New Roman"/>
          <w:sz w:val="24"/>
        </w:rPr>
        <w:t xml:space="preserve">; </w:t>
      </w:r>
      <m:oMath>
        <m:box>
          <m:e>
            <m:r>
              <m:rPr>
                <m:sty m:val="i"/>
              </m:rPr>
              <m:t>E</m:t>
            </m:r>
            <m:sSub>
              <m:e>
                <m:r>
                  <m:rPr>
                    <m:sty m:val="i"/>
                  </m:rPr>
                  <m:t>F</m:t>
                </m:r>
              </m:e>
              <m:sub>
                <m:r>
                  <m:rPr>
                    <m:sty m:val="p"/>
                  </m:rPr>
                  <m:t>5</m:t>
                </m:r>
              </m:sub>
            </m:sSub>
          </m:e>
        </m:box>
      </m:oMath>
      <w:r>
        <w:rPr>
          <w:rFonts w:ascii="Times New Roman" w:hAnsi="Times New Roman"/>
          <w:sz w:val="24"/>
        </w:rPr>
        <w:t xml:space="preserve"> es el factor de emisión indirecta de la ruta hídrica (kg N₂O-N/kg N lixiviado o escurrido;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pStyle w:val="Heading2"/>
      </w:pPr>
      <w:r>
        <w:rPr>
          <w:rFonts w:ascii="Times New Roman" w:hAnsi="Times New Roman"/>
          <w:color w:val="000000"/>
        </w:rPr>
        <w:t>4.7 Recursos operativos y evaluación de impactos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se aplicaron de forma consistente con la definición del inventario y con las funciones metodológicas descritas para el IPCC, EMEP/EEA, EF 3.1 y el IMN.</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keepNext/>
        <w:spacing w:line="240" w:lineRule="auto" w:before="0" w:after="0"/>
        <w:ind w:left="100" w:firstLine="719"/>
        <w:jc w:val="both"/>
      </w:pPr>
      <w:r>
        <w:rPr>
          <w:rFonts w:ascii="Times New Roman" w:hAnsi="Times New Roman"/>
          <w:sz w:val="24"/>
        </w:rPr>
        <w:t>El consumo anual de electricidad E, en kWh/año, combina potencia mecánica, eficiencia, frecuencia y duración del lavado. Su contribución climática se obtiene con el factor agregado de consumo del IMN y no vuelve a caracterizarse como flujo elemental de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E</m:t>
            </m:r>
            <m:r>
              <m:rPr>
                <m:sty m:val="p"/>
              </m:rPr>
              <m:t>=</m:t>
            </m:r>
            <m:box>
              <m:e>
                <m:d>
                  <m:dPr>
                    <m:begChr m:val="("/>
                    <m:endChr m:val=")"/>
                  </m:dPr>
                  <m:e>
                    <m:box>
                      <m:e>
                        <m:f>
                          <m:num>
                            <m:box>
                              <m:e>
                                <m:sSub>
                                  <m:e>
                                    <m:r>
                                      <m:rPr>
                                        <m:sty m:val="i"/>
                                      </m:rPr>
                                      <m:t>P</m:t>
                                    </m:r>
                                  </m:e>
                                  <m:sub>
                                    <m:box>
                                      <m:e>
                                        <m:box>
                                          <m:e>
                                            <m:r>
                                              <m:rPr>
                                                <m:sty m:val="p"/>
                                              </m:rPr>
                                              <m:t>m</m:t>
                                            </m:r>
                                            <m:r>
                                              <m:rPr>
                                                <m:sty m:val="p"/>
                                              </m:rPr>
                                              <m:t>e</m:t>
                                            </m:r>
                                            <m:r>
                                              <m:rPr>
                                                <m:sty m:val="p"/>
                                              </m:rPr>
                                              <m:t>c</m:t>
                                            </m:r>
                                          </m:e>
                                        </m:box>
                                      </m:e>
                                    </m:box>
                                  </m:sub>
                                </m:sSub>
                              </m:e>
                            </m:box>
                          </m:num>
                          <m:den>
                            <m:box>
                              <m:e>
                                <m:r>
                                  <m:rPr>
                                    <m:sty m:val="i"/>
                                  </m:rPr>
                                  <m:t>η</m:t>
                                </m:r>
                              </m:e>
                            </m:box>
                          </m:den>
                        </m:f>
                      </m:e>
                    </m:box>
                  </m:e>
                </m:d>
              </m:e>
            </m:box>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box>
              <m:e>
                <m:d>
                  <m:dPr>
                    <m:begChr m:val="("/>
                    <m:endChr m:val=")"/>
                  </m:dPr>
                  <m:e>
                    <m:box>
                      <m:e>
                        <m:f>
                          <m:num>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num>
                          <m:den>
                            <m:box>
                              <m:e>
                                <m:r>
                                  <m:rPr>
                                    <m:sty m:val="p"/>
                                  </m:rPr>
                                  <m:t>60</m:t>
                                </m:r>
                              </m:e>
                            </m:box>
                          </m:den>
                        </m:f>
                      </m:e>
                    </m:box>
                  </m:e>
                </m:d>
              </m:e>
            </m:box>
            <m:r>
              <m:rPr>
                <m:sty m:val="i"/>
              </m:rPr>
              <m:t>;</m:t>
            </m:r>
            <m:r>
              <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E</m:t>
            </m:r>
            <m:r>
              <m:t/>
            </m:r>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ab/>
        <w:t>(23)</w:t>
      </w:r>
    </w:p>
    <w:p>
      <w:pPr>
        <w:keepLines/>
        <w:spacing w:line="240" w:lineRule="auto" w:before="0" w:after="0"/>
        <w:ind w:left="100" w:firstLine="719"/>
        <w:jc w:val="both"/>
      </w:pPr>
      <w:r>
        <w:rPr>
          <w:rFonts w:ascii="Times New Roman" w:hAnsi="Times New Roman"/>
          <w:b/>
          <w:sz w:val="24"/>
        </w:rPr>
        <w:t xml:space="preserve">Donde: </w:t>
      </w:r>
      <m:oMath>
        <m:box>
          <m:e>
            <m:r>
              <m:rPr>
                <m:sty m:val="i"/>
              </m:rPr>
              <m:t>E</m:t>
            </m:r>
          </m:e>
        </m:box>
      </m:oMath>
      <w:r>
        <w:rPr>
          <w:rFonts w:ascii="Times New Roman" w:hAnsi="Times New Roman"/>
          <w:sz w:val="24"/>
        </w:rPr>
        <w:t xml:space="preserve"> es el consumo anual de electricidad (kWh/año)</w:t>
      </w:r>
      <w:r>
        <w:rPr>
          <w:rFonts w:ascii="Times New Roman" w:hAnsi="Times New Roman"/>
          <w:sz w:val="24"/>
        </w:rPr>
        <w:t xml:space="preserve">; </w:t>
      </w:r>
      <m:oMath>
        <m:box>
          <m:e>
            <m:sSub>
              <m:e>
                <m:r>
                  <m:rPr>
                    <m:sty m:val="i"/>
                  </m:rPr>
                  <m:t>P</m:t>
                </m:r>
              </m:e>
              <m:sub>
                <m:box>
                  <m:e>
                    <m:box>
                      <m:e>
                        <m:r>
                          <m:rPr>
                            <m:sty m:val="p"/>
                          </m:rPr>
                          <m:t>m</m:t>
                        </m:r>
                        <m:r>
                          <m:rPr>
                            <m:sty m:val="p"/>
                          </m:rPr>
                          <m:t>e</m:t>
                        </m:r>
                        <m:r>
                          <m:rPr>
                            <m:sty m:val="p"/>
                          </m:rPr>
                          <m:t>c</m:t>
                        </m:r>
                      </m:e>
                    </m:box>
                  </m:e>
                </m:box>
              </m:sub>
            </m:sSub>
          </m:e>
        </m:box>
      </m:oMath>
      <w:r>
        <w:rPr>
          <w:rFonts w:ascii="Times New Roman" w:hAnsi="Times New Roman"/>
          <w:sz w:val="24"/>
        </w:rPr>
        <w:t xml:space="preserve"> es la potencia mecánica nominal de la bomba (kW)</w:t>
      </w:r>
      <w:r>
        <w:rPr>
          <w:rFonts w:ascii="Times New Roman" w:hAnsi="Times New Roman"/>
          <w:sz w:val="24"/>
        </w:rPr>
        <w:t xml:space="preserve">; </w:t>
      </w:r>
      <m:oMath>
        <m:box>
          <m:e>
            <m:r>
              <m:rPr>
                <m:sty m:val="i"/>
              </m:rPr>
              <m:t>η</m:t>
            </m:r>
          </m:e>
        </m:box>
      </m:oMath>
      <w:r>
        <w:rPr>
          <w:rFonts w:ascii="Times New Roman" w:hAnsi="Times New Roman"/>
          <w:sz w:val="24"/>
        </w:rPr>
        <w:t xml:space="preserve"> es la eficiencia de conversión de potencia de la bomba (kW mecánico/kW eléctrico; adimensional)</w:t>
      </w:r>
      <w:r>
        <w:rPr>
          <w:rFonts w:ascii="Times New Roman" w:hAnsi="Times New Roman"/>
          <w:sz w:val="24"/>
        </w:rPr>
        <w:t xml:space="preserve">; </w:t>
      </w:r>
      <m:oMath>
        <m:box>
          <m:e>
            <m:sSub>
              <m:e>
                <m:r>
                  <m:rPr>
                    <m:sty m:val="i"/>
                  </m:rPr>
                  <m:t>d</m:t>
                </m:r>
              </m:e>
              <m:sub>
                <m:box>
                  <m:e>
                    <m:box>
                      <m:e>
                        <m:r>
                          <m:rPr>
                            <m:sty m:val="p"/>
                          </m:rPr>
                          <m:t>c</m:t>
                        </m:r>
                        <m:r>
                          <m:rPr>
                            <m:sty m:val="p"/>
                          </m:rPr>
                          <m:t>i</m:t>
                        </m:r>
                        <m:r>
                          <m:rPr>
                            <m:sty m:val="p"/>
                          </m:rPr>
                          <m:t>c</m:t>
                        </m:r>
                        <m:r>
                          <m:rPr>
                            <m:sty m:val="p"/>
                          </m:rPr>
                          <m:t>l</m:t>
                        </m:r>
                        <m:r>
                          <m:rPr>
                            <m:sty m:val="p"/>
                          </m:rPr>
                          <m:t>o</m:t>
                        </m:r>
                      </m:e>
                    </m:box>
                  </m:e>
                </m:box>
              </m:sub>
            </m:sSub>
          </m:e>
        </m:box>
      </m:oMath>
      <w:r>
        <w:rPr>
          <w:rFonts w:ascii="Times New Roman" w:hAnsi="Times New Roman"/>
          <w:sz w:val="24"/>
        </w:rPr>
        <w:t xml:space="preserve"> es la duración del ciclo operativo entre vaciados (días/ciclo)</w:t>
      </w:r>
      <w:r>
        <w:rPr>
          <w:rFonts w:ascii="Times New Roman" w:hAnsi="Times New Roman"/>
          <w:sz w:val="24"/>
        </w:rPr>
        <w:t xml:space="preserve">; </w:t>
      </w:r>
      <m:oMath>
        <m:box>
          <m:e>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e>
        </m:box>
      </m:oMath>
      <w:r>
        <w:rPr>
          <w:rFonts w:ascii="Times New Roman" w:hAnsi="Times New Roman"/>
          <w:sz w:val="24"/>
        </w:rPr>
        <w:t xml:space="preserve"> es el número de lavados efectuados por ciclo (lavados/ciclo)</w:t>
      </w:r>
      <w:r>
        <w:rPr>
          <w:rFonts w:ascii="Times New Roman" w:hAnsi="Times New Roman"/>
          <w:sz w:val="24"/>
        </w:rPr>
        <w:t xml:space="preserve">; </w:t>
      </w:r>
      <m:oMath>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oMath>
      <w:r>
        <w:rPr>
          <w:rFonts w:ascii="Times New Roman" w:hAnsi="Times New Roman"/>
          <w:sz w:val="24"/>
        </w:rPr>
        <w:t xml:space="preserve"> es la duración de cada lavado (min/lavado)</w:t>
      </w:r>
      <w:r>
        <w:rPr>
          <w:rFonts w:ascii="Times New Roman" w:hAnsi="Times New Roman"/>
          <w:sz w:val="24"/>
        </w:rPr>
        <w:t xml:space="preserve">; </w:t>
      </w:r>
      <m:oMath>
        <m:box>
          <m:e>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e>
        </m:box>
      </m:oMath>
      <w:r>
        <w:rPr>
          <w:rFonts w:ascii="Times New Roman" w:hAnsi="Times New Roman"/>
          <w:sz w:val="24"/>
        </w:rPr>
        <w:t xml:space="preserve"> es la contribución climática anual del consumo eléctrico (kg CO₂-eq/año)</w:t>
      </w:r>
      <w:r>
        <w:rPr>
          <w:rFonts w:ascii="Times New Roman" w:hAnsi="Times New Roman"/>
          <w:sz w:val="24"/>
        </w:rPr>
        <w:t xml:space="preserve">; </w:t>
      </w:r>
      <m:oMath>
        <m:box>
          <m:e>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 xml:space="preserve"> es el factor agregado de emisión eléctrica del IMN (kg CO₂-eq/kWh)</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volumen anual de diésel V diésel, en L/año, se obtiene de la frecuencia, duración y consumo horario. Los factores IMN producen masas físicas de CO₂ fósil, CH₄ fósil y N₂O; k i hace explícita la conversión de g a kg cuando corresponde, y esas masas se caracterizan después con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p"/>
              </m:rPr>
              <m:t>=</m:t>
            </m:r>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box>
              <m:e>
                <m:d>
                  <m:dPr>
                    <m:begChr m:val="("/>
                    <m:endChr m:val=")"/>
                  </m:dPr>
                  <m:e>
                    <m:box>
                      <m:e>
                        <m:f>
                          <m:num>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num>
                          <m:den>
                            <m:box>
                              <m:e>
                                <m:r>
                                  <m:rPr>
                                    <m:sty m:val="p"/>
                                  </m:rPr>
                                  <m:t>60</m:t>
                                </m:r>
                              </m:e>
                            </m:box>
                          </m:den>
                        </m:f>
                      </m:e>
                    </m:box>
                  </m:e>
                </m:d>
              </m:e>
            </m:box>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m:t>
            </m:r>
            <m:r>
              <m:t/>
            </m:r>
            <m:sSub>
              <m:e>
                <m:r>
                  <m:rPr>
                    <m:sty m:val="i"/>
                  </m:rPr>
                  <m:t>m</m:t>
                </m:r>
              </m:e>
              <m:sub>
                <m:r>
                  <m:rPr>
                    <m:sty m:val="i"/>
                  </m:rPr>
                  <m:t>i</m:t>
                </m:r>
              </m:sub>
            </m:sSub>
            <m:r>
              <m:rPr>
                <m:sty m:val="p"/>
              </m:rPr>
              <m:t>=</m:t>
            </m:r>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sSub>
              <m:e>
                <m:r>
                  <m:rPr>
                    <m:sty m:val="i"/>
                  </m:rPr>
                  <m:t>k</m:t>
                </m:r>
              </m:e>
              <m:sub>
                <m:r>
                  <m:rPr>
                    <m:sty m:val="i"/>
                  </m:rPr>
                  <m:t>i</m:t>
                </m:r>
              </m:sub>
            </m:sSub>
            <m:r>
              <m:rPr>
                <m:sty m:val="p"/>
              </m:rPr>
              <m:t>,</m:t>
            </m:r>
            <m:r>
              <m:t/>
            </m:r>
            <m:sSub>
              <m:e>
                <m:r>
                  <m:rPr>
                    <m:sty m:val="i"/>
                  </m:rPr>
                  <m:t>k</m:t>
                </m:r>
              </m:e>
              <m:sub>
                <m:r>
                  <m:rPr>
                    <m:sty m:val="i"/>
                  </m:rPr>
                  <m:t>i</m:t>
                </m:r>
              </m:sub>
            </m:sSub>
            <m:r>
              <m:rPr>
                <m:sty m:val="p"/>
              </m:rPr>
              <m:t>=</m:t>
            </m:r>
            <m:r>
              <m:rPr>
                <m:sty m:val="p"/>
              </m:rPr>
              <m:t>1</m:t>
            </m:r>
            <m:r>
              <m:rPr>
                <m:nor/>
              </m:rPr>
              <m:t> </m:t>
            </m:r>
            <m:box>
              <m:e>
                <m:r>
                  <m:rPr>
                    <m:sty m:val="p"/>
                  </m:rPr>
                  <m:t>p</m:t>
                </m:r>
                <m:r>
                  <m:rPr>
                    <m:sty m:val="p"/>
                  </m:rPr>
                  <m:t>a</m:t>
                </m:r>
                <m:r>
                  <m:rPr>
                    <m:sty m:val="p"/>
                  </m:rPr>
                  <m:t>r</m:t>
                </m:r>
                <m:r>
                  <m:rPr>
                    <m:sty m:val="p"/>
                  </m:rPr>
                  <m:t>a</m:t>
                </m:r>
                <m:r>
                  <m:rPr>
                    <m:nor/>
                  </m:rPr>
                  <m:t> </m:t>
                </m:r>
                <m:r>
                  <m:rPr>
                    <m:sty m:val="p"/>
                  </m:rPr>
                  <m:t>k</m:t>
                </m:r>
                <m:r>
                  <m:rPr>
                    <m:sty m:val="p"/>
                  </m:rPr>
                  <m:t>g</m:t>
                </m:r>
                <m:r>
                  <m:rPr>
                    <m:sty m:val="p"/>
                  </m:rPr>
                  <m:t>/</m:t>
                </m:r>
                <m:r>
                  <m:rPr>
                    <m:sty m:val="p"/>
                  </m:rPr>
                  <m:t>L</m:t>
                </m:r>
              </m:e>
            </m:box>
            <m:r>
              <m:rPr>
                <m:sty m:val="p"/>
              </m:rPr>
              <m:t>,</m:t>
            </m:r>
            <m:r>
              <m:rPr>
                <m:nor/>
              </m:rPr>
              <m:t> </m:t>
            </m:r>
            <m:sSub>
              <m:e>
                <m:r>
                  <m:rPr>
                    <m:sty m:val="i"/>
                  </m:rPr>
                  <m:t>k</m:t>
                </m:r>
              </m:e>
              <m:sub>
                <m:r>
                  <m:rPr>
                    <m:sty m:val="i"/>
                  </m:rPr>
                  <m:t>i</m:t>
                </m:r>
              </m:sub>
            </m:sSub>
            <m:r>
              <m:rPr>
                <m:sty m:val="p"/>
              </m:rPr>
              <m:t>=</m:t>
            </m:r>
            <m:sSup>
              <m:e>
                <m:r>
                  <m:rPr>
                    <m:sty m:val="p"/>
                  </m:rPr>
                  <m:t>10</m:t>
                </m:r>
              </m:e>
              <m:sup>
                <m:box>
                  <m:e>
                    <m:r>
                      <m:rPr>
                        <m:sty m:val="p"/>
                      </m:rPr>
                      <m:t>−</m:t>
                    </m:r>
                    <m:r>
                      <m:rPr>
                        <m:sty m:val="p"/>
                      </m:rPr>
                      <m:t>3</m:t>
                    </m:r>
                  </m:e>
                </m:box>
              </m:sup>
            </m:sSup>
            <m:r>
              <m:rPr>
                <m:nor/>
              </m:rPr>
              <m:t> </m:t>
            </m:r>
            <m:box>
              <m:e>
                <m:r>
                  <m:rPr>
                    <m:sty m:val="p"/>
                  </m:rPr>
                  <m:t>p</m:t>
                </m:r>
                <m:r>
                  <m:rPr>
                    <m:sty m:val="p"/>
                  </m:rPr>
                  <m:t>a</m:t>
                </m:r>
                <m:r>
                  <m:rPr>
                    <m:sty m:val="p"/>
                  </m:rPr>
                  <m:t>r</m:t>
                </m:r>
                <m:r>
                  <m:rPr>
                    <m:sty m:val="p"/>
                  </m:rPr>
                  <m:t>a</m:t>
                </m:r>
                <m:r>
                  <m:rPr>
                    <m:nor/>
                  </m:rPr>
                  <m:t> </m:t>
                </m:r>
                <m:r>
                  <m:rPr>
                    <m:sty m:val="p"/>
                  </m:rPr>
                  <m:t>g</m:t>
                </m:r>
                <m:r>
                  <m:rPr>
                    <m:sty m:val="p"/>
                  </m:rPr>
                  <m:t>/</m:t>
                </m:r>
                <m:r>
                  <m:rPr>
                    <m:sty m:val="p"/>
                  </m:rPr>
                  <m:t>L</m:t>
                </m:r>
              </m:e>
            </m:box>
          </m:e>
        </m:box>
      </m:oMath>
      <w:r>
        <w:rPr>
          <w:rFonts w:ascii="Times New Roman" w:hAnsi="Times New Roman"/>
          <w:sz w:val="24"/>
        </w:rPr>
        <w:tab/>
        <w:t>(24)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el volumen anual de diésel consumido (L/año)</w:t>
      </w:r>
      <w:r>
        <w:rPr>
          <w:rFonts w:ascii="Times New Roman" w:hAnsi="Times New Roman"/>
          <w:sz w:val="24"/>
        </w:rPr>
        <w:t xml:space="preserve">; </w:t>
      </w:r>
      <m:oMath>
        <m:box>
          <m:e>
            <m:sSub>
              <m:e>
                <m:r>
                  <m:rPr>
                    <m:sty m:val="i"/>
                  </m:rPr>
                  <m:t>d</m:t>
                </m:r>
              </m:e>
              <m:sub>
                <m:box>
                  <m:e>
                    <m:box>
                      <m:e>
                        <m:r>
                          <m:rPr>
                            <m:sty m:val="p"/>
                          </m:rPr>
                          <m:t>c</m:t>
                        </m:r>
                        <m:r>
                          <m:rPr>
                            <m:sty m:val="p"/>
                          </m:rPr>
                          <m:t>i</m:t>
                        </m:r>
                        <m:r>
                          <m:rPr>
                            <m:sty m:val="p"/>
                          </m:rPr>
                          <m:t>c</m:t>
                        </m:r>
                        <m:r>
                          <m:rPr>
                            <m:sty m:val="p"/>
                          </m:rPr>
                          <m:t>l</m:t>
                        </m:r>
                        <m:r>
                          <m:rPr>
                            <m:sty m:val="p"/>
                          </m:rPr>
                          <m:t>o</m:t>
                        </m:r>
                      </m:e>
                    </m:box>
                  </m:e>
                </m:box>
              </m:sub>
            </m:sSub>
          </m:e>
        </m:box>
      </m:oMath>
      <w:r>
        <w:rPr>
          <w:rFonts w:ascii="Times New Roman" w:hAnsi="Times New Roman"/>
          <w:sz w:val="24"/>
        </w:rPr>
        <w:t xml:space="preserve"> es la duración del ciclo operativo entre vaciados (días/ciclo)</w:t>
      </w:r>
      <w:r>
        <w:rPr>
          <w:rFonts w:ascii="Times New Roman" w:hAnsi="Times New Roman"/>
          <w:sz w:val="24"/>
        </w:rPr>
        <w:t xml:space="preserve">; </w:t>
      </w:r>
      <m:oMath>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oMath>
      <w:r>
        <w:rPr>
          <w:rFonts w:ascii="Times New Roman" w:hAnsi="Times New Roman"/>
          <w:sz w:val="24"/>
        </w:rPr>
        <w:t xml:space="preserve"> es la duración de operación del tractor en cada ciclo (min/ciclo)</w:t>
      </w:r>
      <w:r>
        <w:rPr>
          <w:rFonts w:ascii="Times New Roman" w:hAnsi="Times New Roman"/>
          <w:sz w:val="24"/>
        </w:rPr>
        <w:t xml:space="preserve">; </w:t>
      </w:r>
      <m:oMath>
        <m:box>
          <m:e>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el consumo horario de diésel del tractor (L/h)</w:t>
      </w:r>
      <w:r>
        <w:rPr>
          <w:rFonts w:ascii="Times New Roman" w:hAnsi="Times New Roman"/>
          <w:sz w:val="24"/>
        </w:rPr>
        <w:t xml:space="preserve">; </w:t>
      </w:r>
      <m:oMath>
        <m:box>
          <m:e>
            <m:sSub>
              <m:e>
                <m:r>
                  <m:rPr>
                    <m:sty m:val="i"/>
                  </m:rPr>
                  <m:t>m</m:t>
                </m:r>
              </m:e>
              <m:sub>
                <m:r>
                  <m:rPr>
                    <m:sty m:val="i"/>
                  </m:rPr>
                  <m:t>i</m:t>
                </m:r>
              </m:sub>
            </m:sSub>
          </m:e>
        </m:box>
      </m:oMath>
      <w:r>
        <w:rPr>
          <w:rFonts w:ascii="Times New Roman" w:hAnsi="Times New Roman"/>
          <w:sz w:val="24"/>
        </w:rPr>
        <w:t xml:space="preserve"> es la masa anual emitida del compuesto i (kg del compuesto/año)</w:t>
      </w:r>
      <w:r>
        <w:rPr>
          <w:rFonts w:ascii="Times New Roman" w:hAnsi="Times New Roman"/>
          <w:sz w:val="24"/>
        </w:rPr>
        <w:t xml:space="preserve">; </w:t>
      </w:r>
      <m:oMath>
        <m:box>
          <m:e>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e>
        </m:box>
      </m:oMath>
      <w:r>
        <w:rPr>
          <w:rFonts w:ascii="Times New Roman" w:hAnsi="Times New Roman"/>
          <w:sz w:val="24"/>
        </w:rPr>
        <w:t xml:space="preserve"> es el factor físico del IMN para el compuesto i, expresado en kg/L o g/L según la fuente</w:t>
      </w:r>
      <w:r>
        <w:rPr>
          <w:rFonts w:ascii="Times New Roman" w:hAnsi="Times New Roman"/>
          <w:sz w:val="24"/>
        </w:rPr>
        <w:t xml:space="preserve">; </w:t>
      </w:r>
      <m:oMath>
        <m:box>
          <m:e>
            <m:sSub>
              <m:e>
                <m:r>
                  <m:rPr>
                    <m:sty m:val="i"/>
                  </m:rPr>
                  <m:t>k</m:t>
                </m:r>
              </m:e>
              <m:sub>
                <m:r>
                  <m:rPr>
                    <m:sty m:val="i"/>
                  </m:rPr>
                  <m:t>i</m:t>
                </m:r>
              </m:sub>
            </m:sSub>
          </m:e>
        </m:box>
      </m:oMath>
      <w:r>
        <w:rPr>
          <w:rFonts w:ascii="Times New Roman" w:hAnsi="Times New Roman"/>
          <w:sz w:val="24"/>
        </w:rPr>
        <w:t xml:space="preserve"> es el coeficiente de conversión: 1 cuando el factor está en kg/L y 10⁻³ kg/g cuando está en g/L</w:t>
      </w:r>
      <w:r>
        <w:rPr>
          <w:rFonts w:ascii="Times New Roman" w:hAnsi="Times New Roman"/>
          <w:sz w:val="24"/>
        </w:rPr>
        <w:t xml:space="preserve">; </w:t>
      </w:r>
      <m:oMath>
        <m:box>
          <m:e>
            <m:r>
              <m:rPr>
                <m:sty m:val="i"/>
              </m:rPr>
              <m:t>i</m:t>
            </m:r>
          </m:e>
        </m:box>
      </m:oMath>
      <w:r>
        <w:rPr>
          <w:rFonts w:ascii="Times New Roman" w:hAnsi="Times New Roman"/>
          <w:sz w:val="24"/>
        </w:rPr>
        <w:t xml:space="preserve"> identifica CO₂ fósil, CH₄ fósil o N₂O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Los indicadores ambientales se obtuvieron sumando, para cada categoría, los flujos elementales multiplicados por sus factores de caracterización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(25)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I</m:t>
                </m:r>
              </m:e>
              <m:sub>
                <m:r>
                  <m:rPr>
                    <m:sty m:val="i"/>
                  </m:rPr>
                  <m:t>c</m:t>
                </m:r>
              </m:sub>
            </m:sSub>
          </m:e>
        </m:box>
      </m:oMath>
      <w:r>
        <w:rPr>
          <w:rFonts w:ascii="Times New Roman" w:hAnsi="Times New Roman"/>
          <w:sz w:val="24"/>
        </w:rPr>
        <w:t xml:space="preserve"> es el indicador de impacto de la categoría c, expresado en la unidad equivalente propia de la categoría por año</w:t>
      </w:r>
      <w:r>
        <w:rPr>
          <w:rFonts w:ascii="Times New Roman" w:hAnsi="Times New Roman"/>
          <w:sz w:val="24"/>
        </w:rPr>
        <w:t xml:space="preserve">; </w:t>
      </w:r>
      <m:oMath>
        <m:box>
          <m:e>
            <m:sSub>
              <m:e>
                <m:r>
                  <m:rPr>
                    <m:sty m:val="i"/>
                  </m:rPr>
                  <m:t>m</m:t>
                </m:r>
              </m:e>
              <m:sub>
                <m:r>
                  <m:rPr>
                    <m:sty m:val="i"/>
                  </m:rPr>
                  <m:t>i</m:t>
                </m:r>
              </m:sub>
            </m:sSub>
          </m:e>
        </m:box>
      </m:oMath>
      <w:r>
        <w:rPr>
          <w:rFonts w:ascii="Times New Roman" w:hAnsi="Times New Roman"/>
          <w:sz w:val="24"/>
        </w:rPr>
        <w:t xml:space="preserve"> es la masa anual del flujo elemental i (kg del flujo/año)</w:t>
      </w:r>
      <w:r>
        <w:rPr>
          <w:rFonts w:ascii="Times New Roman" w:hAnsi="Times New Roman"/>
          <w:sz w:val="24"/>
        </w:rPr>
        <w:t xml:space="preserve">; </w:t>
      </w:r>
      <m:oMath>
        <m:box>
          <m:e>
            <m:r>
              <m:rPr>
                <m:sty m:val="i"/>
              </m:rPr>
              <m:t>C</m:t>
            </m:r>
            <m:sSub>
              <m:e>
                <m:r>
                  <m:rPr>
                    <m:sty m:val="i"/>
                  </m:rPr>
                  <m:t>F</m:t>
                </m:r>
              </m:e>
              <m:sub>
                <m:box>
                  <m:e>
                    <m:r>
                      <m:rPr>
                        <m:sty m:val="i"/>
                      </m:rPr>
                      <m:t>i</m:t>
                    </m:r>
                    <m:r>
                      <m:rPr>
                        <m:sty m:val="p"/>
                      </m:rPr>
                      <m:t>,</m:t>
                    </m:r>
                    <m:r>
                      <m:rPr>
                        <m:sty m:val="i"/>
                      </m:rPr>
                      <m:t>c</m:t>
                    </m:r>
                  </m:e>
                </m:box>
              </m:sub>
            </m:sSub>
          </m:e>
        </m:box>
      </m:oMath>
      <w:r>
        <w:rPr>
          <w:rFonts w:ascii="Times New Roman" w:hAnsi="Times New Roman"/>
          <w:sz w:val="24"/>
        </w:rPr>
        <w:t xml:space="preserve"> es el factor de caracterización del flujo i en la categoría c (unidad equivalente de c/kg del flujo)</w:t>
      </w:r>
      <w:r>
        <w:rPr>
          <w:rFonts w:ascii="Times New Roman" w:hAnsi="Times New Roman"/>
          <w:sz w:val="24"/>
        </w:rPr>
        <w:t xml:space="preserve">; </w:t>
      </w:r>
      <m:oMath>
        <m:box>
          <m:e>
            <m:r>
              <m:rPr>
                <m:sty m:val="i"/>
              </m:rPr>
              <m:t>i</m:t>
            </m:r>
          </m:e>
        </m:box>
      </m:oMath>
      <w:r>
        <w:rPr>
          <w:rFonts w:ascii="Times New Roman" w:hAnsi="Times New Roman"/>
          <w:sz w:val="24"/>
        </w:rPr>
        <w:t xml:space="preserve"> identifica el flujo elemental caracterizado</w:t>
      </w:r>
      <w:r>
        <w:rPr>
          <w:rFonts w:ascii="Times New Roman" w:hAnsi="Times New Roman"/>
          <w:sz w:val="24"/>
        </w:rPr>
        <w:t xml:space="preserve">; </w:t>
      </w:r>
      <m:oMath>
        <m:box>
          <m:e>
            <m:r>
              <m:rPr>
                <m:sty m:val="i"/>
              </m:rPr>
              <m:t>c</m:t>
            </m:r>
          </m:e>
        </m:box>
      </m:oMath>
      <w:r>
        <w:rPr>
          <w:rFonts w:ascii="Times New Roman" w:hAnsi="Times New Roman"/>
          <w:sz w:val="24"/>
        </w:rPr>
        <w:t xml:space="preserve"> identifica cambio climático, eutrofización terrestre o eutrofización marina</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cambio climático total suma una sola vez las contribuciones del manejo, la electricidad agregada y las emisiones físicas del diésel caracterizadas con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(26)</w:t>
      </w:r>
    </w:p>
    <w:p>
      <w:pPr>
        <w:keepLines/>
        <w:spacing w:line="240" w:lineRule="auto" w:before="0" w:after="0"/>
        <w:ind w:left="100" w:firstLine="719"/>
        <w:jc w:val="both"/>
      </w:pPr>
      <w:r>
        <w:rPr>
          <w:rFonts w:ascii="Times New Roman" w:hAnsi="Times New Roman"/>
          <w:b/>
          <w:sz w:val="24"/>
        </w:rPr>
        <w:t xml:space="preserve">Donde: </w:t>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e>
        </m:box>
      </m:oMath>
      <w:r>
        <w:rPr>
          <w:rFonts w:ascii="Times New Roman" w:hAnsi="Times New Roman"/>
          <w:sz w:val="24"/>
        </w:rPr>
        <w:t xml:space="preserve"> es el indicador anual total de cambio climático (kg CO₂-eq/año)</w:t>
      </w:r>
      <w:r>
        <w:rPr>
          <w:rFonts w:ascii="Times New Roman" w:hAnsi="Times New Roman"/>
          <w:sz w:val="24"/>
        </w:rPr>
        <w:t xml:space="preserve">; </w:t>
      </w:r>
      <m:oMath>
        <m:box>
          <m:e>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e>
        </m:box>
      </m:oMath>
      <w:r>
        <w:rPr>
          <w:rFonts w:ascii="Times New Roman" w:hAnsi="Times New Roman"/>
          <w:sz w:val="24"/>
        </w:rPr>
        <w:t xml:space="preserve"> es la contribución anual de las emisiones del manejo del estiércol (kg CO₂-eq/año)</w:t>
      </w:r>
      <w:r>
        <w:rPr>
          <w:rFonts w:ascii="Times New Roman" w:hAnsi="Times New Roman"/>
          <w:sz w:val="24"/>
        </w:rPr>
        <w:t xml:space="preserve">; </w:t>
      </w:r>
      <m:oMath>
        <m:box>
          <m:e>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e>
        </m:box>
      </m:oMath>
      <w:r>
        <w:rPr>
          <w:rFonts w:ascii="Times New Roman" w:hAnsi="Times New Roman"/>
          <w:sz w:val="24"/>
        </w:rPr>
        <w:t xml:space="preserve"> es la contribución climática anual del consumo eléctrico (kg CO₂-eq/año)</w:t>
      </w:r>
      <w:r>
        <w:rPr>
          <w:rFonts w:ascii="Times New Roman" w:hAnsi="Times New Roman"/>
          <w:sz w:val="24"/>
        </w:rPr>
        <w:t xml:space="preserve">; </w:t>
      </w:r>
      <m:oMath>
        <m:box>
          <m:e>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la contribución climática anual de las emisiones físicas del diésel (kg CO₂-eq/año)</w:t>
      </w:r>
      <w:r>
        <w:rPr>
          <w:rFonts w:ascii="Times New Roman" w:hAnsi="Times New Roman"/>
          <w:sz w:val="24"/>
        </w:rPr>
        <w:t>.</w:t>
      </w:r>
    </w:p>
    <w:p>
      <w:pPr>
        <w:spacing w:line="240" w:lineRule="auto" w:before="0" w:after="0"/>
        <w:ind w:left="100" w:firstLine="719"/>
        <w:jc w:val="both"/>
      </w:pPr>
      <w:r>
        <w:rPr>
          <w:rFonts w:ascii="Times New Roman" w:hAnsi="Times New Roman"/>
          <w:sz w:val="24"/>
        </w:rPr>
        <w:t>La Tabla 5 documenta los factores visibles principales y la Figura 5 muestra la escala operacional de los flujos. La fuente del Instituto Meteorológico Nacional se identifica por su portada como 16.ª edición de 2026; sin embargo, los encabezados de las páginas interiores 2–10 indican 15.ª edición de 2025. Esta discrepancia editorial se conserva de forma explícita y no modifica los factores seleccionados.</w:t>
      </w:r>
    </w:p>
    <w:p>
      <w:pPr>
        <w:pStyle w:val="Rótuloacadémico"/>
        <w:keepNext/>
        <w:keepLines/>
      </w:pPr>
      <w:r>
        <w:rPr>
          <w:rFonts w:ascii="Times New Roman" w:hAnsi="Times New Roman"/>
          <w:b/>
          <w:color w:val="000000"/>
        </w:rPr>
        <w:t>Tabla 5</w:t>
      </w:r>
    </w:p>
    <w:p>
      <w:pPr>
        <w:pStyle w:val="Descripciónacadémica"/>
        <w:keepNext/>
        <w:keepLines/>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4, Sector energía: Óxido nitroso</w:t>
            </w:r>
          </w:p>
        </w:tc>
      </w:tr>
    </w:tbl>
    <w:p>
      <w:pPr>
        <w:pStyle w:val="Notadetabla"/>
      </w:pPr>
      <w:r>
        <w:rPr>
          <w:rFonts w:ascii="Times New Roman" w:hAnsi="Times New Roman"/>
          <w:b/>
        </w:rPr>
        <w:t xml:space="preserve">Nota. </w:t>
      </w:r>
      <w:r>
        <w:rPr>
          <w:rFonts w:ascii="Times New Roman" w:hAnsi="Times New Roman"/>
        </w:rPr>
        <w:t>La identificación bibliográfica principal sigue la portada del documento del IMN (16.ª edición, 2026); la identificación interior divergente (15.ª edición, 2025) se informa para permitir la verificación de las páginas citadas. Los valores y sus unidades permanecen sin cambios.</w:t>
      </w:r>
    </w:p>
    <w:p>
      <w:pPr>
        <w:pStyle w:val="Rótuloacadémico"/>
        <w:keepNext/>
        <w:keepLines/>
      </w:pPr>
      <w:r>
        <w:rPr>
          <w:rFonts w:ascii="Times New Roman" w:hAnsi="Times New Roman"/>
          <w:b/>
          <w:color w:val="000000"/>
        </w:rPr>
        <w:t>Figura 5</w:t>
      </w:r>
    </w:p>
    <w:p>
      <w:pPr>
        <w:pStyle w:val="Descripciónacadémica"/>
        <w:keepNext/>
        <w:keepLines/>
      </w:pPr>
      <w:r>
        <w:rPr>
          <w:rFonts w:ascii="Times New Roman" w:hAnsi="Times New Roman"/>
          <w:i/>
          <w:color w:val="000000"/>
        </w:rPr>
        <w:t>Masa equivalente total por etapa y escenario.</w:t>
      </w:r>
    </w:p>
    <w:p>
      <w:pPr>
        <w:keepLines/>
        <w:ind w:left="0" w:firstLine="0"/>
        <w:jc w:val="center"/>
      </w:pPr>
      <w:r>
        <w:drawing>
          <wp:inline xmlns:a="http://schemas.openxmlformats.org/drawingml/2006/main" xmlns:pic="http://schemas.openxmlformats.org/drawingml/2006/picture">
            <wp:extent cx="5486400" cy="2941378"/>
            <wp:docPr id="5" name="Picture 5"/>
            <wp:cNvGraphicFramePr>
              <a:graphicFrameLocks noChangeAspect="1"/>
            </wp:cNvGraphicFramePr>
            <a:graphic>
              <a:graphicData uri="http://schemas.openxmlformats.org/drawingml/2006/picture">
                <pic:pic>
                  <pic:nvPicPr>
                    <pic:cNvPr id="0" name="fig_04_flujos_masa_equivalente_total.png"/>
                    <pic:cNvPicPr/>
                  </pic:nvPicPr>
                  <pic:blipFill>
                    <a:blip r:embed="rId14"/>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4.8 Verificación independiente de la caracterización</w:t>
      </w:r>
    </w:p>
    <w:p>
      <w:pPr>
        <w:spacing w:line="240" w:lineRule="auto" w:before="0" w:after="0"/>
        <w:ind w:left="100" w:firstLine="719"/>
        <w:jc w:val="both"/>
      </w:pPr>
      <w:r>
        <w:rPr>
          <w:rFonts w:ascii="Times New Roman" w:hAnsi="Times New Roman"/>
          <w:sz w:val="24"/>
        </w:rPr>
        <w:t>La verificación independiente tuvo como propósito el aseguramiento y control de la calidad de la caracterización EF 3.1 implementada en Python. Python permaneció como fuente de verdad del inventario, la estimación de emisiones, la caracterización, la agregación, la normalización y los resultados canónicos. SimaPro no se utilizó para construir el inventario ni para sustituir esos cálculos.</w:t>
      </w:r>
    </w:p>
    <w:p>
      <w:pPr>
        <w:spacing w:line="240" w:lineRule="auto" w:before="0" w:after="0"/>
        <w:ind w:left="100" w:firstLine="719"/>
        <w:jc w:val="both"/>
      </w:pPr>
      <w:r>
        <w:rPr>
          <w:rFonts w:ascii="Times New Roman" w:hAnsi="Times New Roman"/>
          <w:sz w:val="24"/>
        </w:rPr>
        <w:t>La sesión se efectuó el 7 de octubre de 2026 con SimaPro 10.4.0.0 Educational, instalación UCR 004, en el proyecto local MATEO TFG TESTING y con el método Environmental Footprint 3.1 (adapted) V1.05. Se inspeccionaron directamente las nueve combinaciones activas de flujo, compartimento y categoría. Además, se ejecutaron de extremo a extremo cinco procesos unitarios de 1 kg para N₂O, CH₄ biogénico, NH₃, NOx y NO₃⁻. Los factores de CO₂ fósil y CH₄ fósil se inspeccionaron directamente, pero no se ejecutaron procesos unitarios independientes para esos dos flujos.</w:t>
      </w:r>
    </w:p>
    <w:p>
      <w:pPr>
        <w:spacing w:line="240" w:lineRule="auto" w:before="0" w:after="0"/>
        <w:ind w:left="100" w:firstLine="719"/>
        <w:jc w:val="both"/>
      </w:pPr>
      <w:r>
        <w:rPr>
          <w:rFonts w:ascii="Times New Roman" w:hAnsi="Times New Roman"/>
          <w:sz w:val="24"/>
        </w:rPr>
        <w:t>Después de los casos unitarios se compararon por escenario los subtotales de cambio climático, eutrofización marina y eutrofización terrestre obtenidos con las mismas cantidades elementales. La diferencia se definió como el resultado SimaPro menos el resultado Python y, cuando el resultado Python era distinto de cero, la diferencia relativa se calculó respecto de este. La clasificación A identificó identidad o concordancia dentro de la precisión mostrada; B, diferencias explicables por precisión o redondeo; y C–H reservaron, respectivamente, diferencias de versión o configuración, identidad del flujo, compartimento, unidad o conversión, ausencia de correspondencia verificable y discrepancia no resuelta.</w:t>
      </w:r>
    </w:p>
    <w:p>
      <w:pPr>
        <w:spacing w:line="240" w:lineRule="auto" w:before="0" w:after="0"/>
        <w:ind w:left="100" w:firstLine="719"/>
        <w:jc w:val="both"/>
      </w:pPr>
      <w:r>
        <w:rPr>
          <w:rFonts w:ascii="Times New Roman" w:hAnsi="Times New Roman"/>
          <w:sz w:val="24"/>
        </w:rPr>
        <w:t>La comprobación excluyó la contribución eléctrica agregada del IMN, los procesos de fondo y la normalización respecto de la unidad funcional dentro de SimaPro. Tampoco reconstruyó las etapas A1–A4 y B1–B2 como procesos del programa. Por ello, el valor climático comparado corresponde exclusivamente al subtotal caracterizable con EF 3.1: incluye los flujos elementales del manejo y las emisiones fósiles del diésel, pero no el total climático publicado por el ACV, que incorpora además la electricidad IMN. Todo el ejercicio conserva carácter PROVISIONAL M1–M2.</w:t>
      </w:r>
    </w:p>
    <w:p>
      <w:pPr>
        <w:pStyle w:val="Heading2"/>
      </w:pPr>
      <w:r>
        <w:rPr>
          <w:rFonts w:ascii="Times New Roman" w:hAnsi="Times New Roman"/>
          <w:color w:val="000000"/>
        </w:rPr>
        <w:t>4.9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y la incertidumbre documentada para los factores de conversión de metano de la guía IPCC (VanderZaag, 2018), la transferibilidad de Komakech, la representatividad de las categorías IPCC y del factor EMEP de N₂ en A2, la masa húmeda inferida de A2 y la ausencia de un balance cerrado de agua y sólidos. Estas fuentes de incertidumbre delimitan la interpretación de los resultados provisionales M1–M2.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integración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Tabla 6 presenta la masa húmeda o equivalente gestionada en cada etapa. En A4 y B2, la masa equivalente integra el agua de lavado con la fracción de estiércol correspondiente; no constituye la base para inicializar N total.</w:t>
      </w:r>
    </w:p>
    <w:p>
      <w:pPr>
        <w:pStyle w:val="Rótuloacadémico"/>
        <w:keepNext/>
        <w:keepLines/>
      </w:pPr>
      <w:r>
        <w:rPr>
          <w:rFonts w:ascii="Times New Roman" w:hAnsi="Times New Roman"/>
          <w:b/>
          <w:color w:val="000000"/>
        </w:rPr>
        <w:t>Tabla 6</w:t>
      </w:r>
    </w:p>
    <w:p>
      <w:pPr>
        <w:pStyle w:val="Descripciónacadémica"/>
        <w:keepNext/>
        <w:keepLines/>
      </w:pPr>
      <w:r>
        <w:rPr>
          <w:rFonts w:ascii="Times New Roman" w:hAnsi="Times New Roman"/>
          <w:i/>
          <w:color w:val="000000"/>
        </w:rPr>
        <w:t>Masas anuales gestionadas por etapa.</w:t>
      </w:r>
    </w:p>
    <w:tbl>
      <w:tblPr>
        <w:tblW w:type="auto" w:w="0"/>
        <w:jc w:val="center"/>
        <w:tblLook w:firstColumn="1" w:firstRow="1" w:lastColumn="0" w:lastRow="0" w:noHBand="0" w:noVBand="1" w:val="04A0"/>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Masa gestionada (kg eq/año)</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Significado físico</w:t>
            </w:r>
          </w:p>
        </w:tc>
      </w:tr>
      <w:tr>
        <w:trPr>
          <w:cantSplit/>
        </w:trPr>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17 525,1</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 recolectado; masa húmeda anual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7 430</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Precompostado de entrada; masa húmeda inferida mediante la transformación A1→A2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fracción de boñiga; no es masa de estiércol medida ni base de N</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teóricamente depositado;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boñiga; no es masa de estiércol medida ni base de N</w:t>
            </w:r>
          </w:p>
        </w:tc>
      </w:tr>
    </w:tbl>
    <w:p>
      <w:pPr>
        <w:spacing w:line="240" w:lineRule="auto" w:before="0" w:after="0"/>
        <w:ind w:left="100" w:firstLine="719"/>
        <w:jc w:val="both"/>
      </w:pPr>
      <w:r>
        <w:rPr>
          <w:rFonts w:ascii="Times New Roman" w:hAnsi="Times New Roman"/>
          <w:sz w:val="24"/>
        </w:rPr>
        <w:t>La Figura 6 presenta la caracterización gravimétrica provisional.</w:t>
      </w:r>
    </w:p>
    <w:p>
      <w:pPr>
        <w:pStyle w:val="Rótuloacadémico"/>
        <w:keepNext/>
        <w:keepLines/>
      </w:pPr>
      <w:r>
        <w:rPr>
          <w:rFonts w:ascii="Times New Roman" w:hAnsi="Times New Roman"/>
          <w:b/>
          <w:color w:val="000000"/>
        </w:rPr>
        <w:t>Figura 6</w:t>
      </w:r>
    </w:p>
    <w:p>
      <w:pPr>
        <w:pStyle w:val="Descripciónacadémica"/>
        <w:keepNext/>
        <w:keepLines/>
      </w:pPr>
      <w:r>
        <w:rPr>
          <w:rFonts w:ascii="Times New Roman" w:hAnsi="Times New Roman"/>
          <w:i/>
          <w:color w:val="000000"/>
        </w:rPr>
        <w:t>Humedad y materia seca promedio por tipo de muestra.</w:t>
      </w:r>
    </w:p>
    <w:p>
      <w:pPr>
        <w:keepLines/>
        <w:ind w:left="0" w:firstLine="0"/>
        <w:jc w:val="center"/>
      </w:pPr>
      <w:r>
        <w:drawing>
          <wp:inline xmlns:a="http://schemas.openxmlformats.org/drawingml/2006/main" xmlns:pic="http://schemas.openxmlformats.org/drawingml/2006/picture">
            <wp:extent cx="5486400" cy="3834381"/>
            <wp:docPr id="6" name="Picture 6"/>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5"/>
                    <a:stretch>
                      <a:fillRect/>
                    </a:stretch>
                  </pic:blipFill>
                  <pic:spPr>
                    <a:xfrm>
                      <a:off x="0" y="0"/>
                      <a:ext cx="5486400" cy="3834381"/>
                    </a:xfrm>
                    <a:prstGeom prst="rect"/>
                  </pic:spPr>
                </pic:pic>
              </a:graphicData>
            </a:graphic>
          </wp:inline>
        </w:drawing>
      </w:r>
    </w:p>
    <w:p>
      <w:pPr>
        <w:pStyle w:val="Heading3"/>
      </w:pPr>
      <w:r>
        <w:rPr>
          <w:rFonts w:ascii="Times New Roman" w:hAnsi="Times New Roman"/>
          <w:color w:val="000000"/>
        </w:rPr>
        <w:t>5.1.1 Contraste provisional del nitrógeno experimental con el balance modelado</w:t>
      </w:r>
    </w:p>
    <w:p>
      <w:pPr>
        <w:spacing w:line="240" w:lineRule="auto" w:before="0" w:after="0"/>
        <w:ind w:left="100" w:firstLine="719"/>
        <w:jc w:val="both"/>
      </w:pPr>
      <w:r>
        <w:rPr>
          <w:rFonts w:ascii="Times New Roman" w:hAnsi="Times New Roman"/>
          <w:sz w:val="24"/>
        </w:rPr>
        <w:t>La Tabla 7 compara las referencias experimentales o derivadas con las estimaciones del balance secuencial. Una diferencia positiva indica que el modelo supera la referencia, una negativa indica que es inferior y cero señala que no hay diferencia visible con el redondeo adoptado.</w:t>
      </w:r>
    </w:p>
    <w:p>
      <w:pPr>
        <w:pStyle w:val="Rótuloacadémico"/>
        <w:keepNext/>
        <w:keepLines/>
      </w:pPr>
      <w:r>
        <w:rPr>
          <w:rFonts w:ascii="Times New Roman" w:hAnsi="Times New Roman"/>
          <w:b/>
          <w:color w:val="000000"/>
        </w:rPr>
        <w:t>Tabla 7</w:t>
      </w:r>
    </w:p>
    <w:p>
      <w:pPr>
        <w:pStyle w:val="Descripciónacadémica"/>
        <w:keepNext/>
        <w:keepLines/>
      </w:pPr>
      <w:r>
        <w:rPr>
          <w:rFonts w:ascii="Times New Roman" w:hAnsi="Times New Roman"/>
          <w:i/>
          <w:color w:val="000000"/>
        </w:rPr>
        <w:t>Contraste provisional del N experimental con el balance modelado.</w:t>
      </w:r>
    </w:p>
    <w:tbl>
      <w:tblPr>
        <w:tblW w:type="auto" w:w="0"/>
        <w:jc w:val="center"/>
        <w:tblLayout w:type="fixed"/>
        <w:tblLook w:firstColumn="1" w:firstRow="1" w:lastColumn="0" w:lastRow="0" w:noHBand="0" w:noVBand="1" w:val="04A0"/>
      </w:tblPr>
      <w:tblGrid>
        <w:gridCol w:w="1916"/>
        <w:gridCol w:w="1916"/>
        <w:gridCol w:w="1916"/>
        <w:gridCol w:w="1916"/>
        <w:gridCol w:w="1916"/>
      </w:tblGrid>
      <w:tr>
        <w:trPr>
          <w:cantSplit/>
          <w:tblHeader w:val="true"/>
        </w:trPr>
        <w:tc>
          <w:tcPr>
            <w:tcW w:type="dxa" w:w="180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Contraste</w:t>
            </w:r>
          </w:p>
        </w:tc>
        <w:tc>
          <w:tcPr>
            <w:tcW w:type="dxa" w:w="194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Referencia experimental o derivada</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Estimación modelada</w:t>
            </w:r>
          </w:p>
        </w:tc>
        <w:tc>
          <w:tcPr>
            <w:tcW w:type="dxa" w:w="223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Diferencia absoluta (modelo − referencia)</w:t>
            </w:r>
          </w:p>
        </w:tc>
        <w:tc>
          <w:tcPr>
            <w:tcW w:type="dxa" w:w="136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Diferencia relativa</w:t>
            </w:r>
          </w:p>
        </w:tc>
      </w:tr>
      <w:tr>
        <w:trPr>
          <w:cantSplit/>
        </w:trPr>
        <w:tc>
          <w:tcPr>
            <w:tcW w:type="dxa" w:w="180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A1: N residual después del precomposteo</w:t>
            </w:r>
          </w:p>
        </w:tc>
        <w:tc>
          <w:tcPr>
            <w:tcW w:type="dxa" w:w="194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38,5 kg N/año</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52,4 kg N/año</w:t>
            </w:r>
          </w:p>
        </w:tc>
        <w:tc>
          <w:tcPr>
            <w:tcW w:type="dxa" w:w="2232"/>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+13,9 kg N/año</w:t>
            </w:r>
          </w:p>
        </w:tc>
        <w:tc>
          <w:tcPr>
            <w:tcW w:type="dxa" w:w="136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+36,2 %</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A3→A4: Aguas verdes</w:t>
            </w:r>
          </w:p>
        </w:tc>
        <w:tc>
          <w:tcPr>
            <w:tcW w:type="dxa" w:w="194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0,0093 % N</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0,0147 % N</w:t>
            </w:r>
          </w:p>
        </w:tc>
        <w:tc>
          <w:tcPr>
            <w:tcW w:type="dxa" w:w="2232"/>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+0,0054 puntos porcentuales</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+58,3 %</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B1→B2: Purines</w:t>
            </w:r>
          </w:p>
        </w:tc>
        <w:tc>
          <w:tcPr>
            <w:tcW w:type="dxa" w:w="194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0,0139 % N</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0,0412 % N</w:t>
            </w:r>
          </w:p>
        </w:tc>
        <w:tc>
          <w:tcPr>
            <w:tcW w:type="dxa" w:w="2232"/>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+0,0273 puntos porcentuales</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+195,7 %</w:t>
            </w:r>
          </w:p>
        </w:tc>
      </w:tr>
    </w:tbl>
    <w:p>
      <w:pPr>
        <w:pStyle w:val="Notadetabla"/>
      </w:pPr>
      <w:r>
        <w:rPr>
          <w:rFonts w:ascii="Times New Roman" w:hAnsi="Times New Roman"/>
          <w:b/>
        </w:rPr>
        <w:t xml:space="preserve">Nota. </w:t>
      </w:r>
      <w:r>
        <w:rPr>
          <w:rFonts w:ascii="Times New Roman" w:hAnsi="Times New Roman"/>
        </w:rPr>
        <w:t>La referencia de A1 es una masa de N derivada del análisis del precompostado y de la masa húmeda inferida de A2; no fue observada directamente. Para aguas verdes y purines, las referencias son concentraciones medidas en M2 y las concentraciones modeladas usan mezclas anuales teóricas, no descargas medidas. Las diferencias se calcularon con la precisión interna antes del redondeo visible; los cuatro decimales de las concentraciones permiten distinguir valores menores que 0,01 % N y no expresan mayor precisión analítica formal. Las diferencias no validan experimentalmente los factores IPCC–EMEP/EEA ni identifican una ruta específica de pérdida de N.</w:t>
      </w:r>
    </w:p>
    <w:p>
      <w:pPr>
        <w:spacing w:line="240" w:lineRule="auto" w:before="0" w:after="0"/>
        <w:ind w:left="100" w:firstLine="719"/>
        <w:jc w:val="both"/>
      </w:pPr>
      <w:r>
        <w:rPr>
          <w:rFonts w:ascii="Times New Roman" w:hAnsi="Times New Roman"/>
          <w:sz w:val="24"/>
        </w:rPr>
        <w:t>Después de A1, el modelo estimó 52,4 kg N/año, frente a una referencia derivada de 38,5 kg N/año. La diferencia modelo menos referencia fue +13,9 kg N/año, equivalente a +36,2 % de la referencia; con el redondeo adoptado, el modelo conservó más N residual que la referencia derivada.</w:t>
      </w:r>
    </w:p>
    <w:p>
      <w:pPr>
        <w:spacing w:line="240" w:lineRule="auto" w:before="0" w:after="0"/>
        <w:ind w:left="100" w:firstLine="719"/>
        <w:jc w:val="both"/>
      </w:pPr>
      <w:r>
        <w:rPr>
          <w:rFonts w:ascii="Times New Roman" w:hAnsi="Times New Roman"/>
          <w:sz w:val="24"/>
        </w:rPr>
        <w:t>En aguas verdes, la concentración modelada fue 0,0147 % N y la medida en M2 fue 0,0093 % N. La diferencia fue +0,0054 puntos porcentuales (+58,3 %); con el redondeo adoptado, la concentración modelada fue mayor que la medición M2. En purines, los valores respectivos fueron 0,0412 % N y 0,0139 % N, con una diferencia de +0,0273 puntos porcentuales (+195,7 %); la concentración modelada fue mayor que la medición M2.</w:t>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8 resume las emisiones del manejo y la Figura 7 muestra la distribución de CH₄. Las contribuciones operativas de electricidad y diésel se incorporaron en el indicador de cambio climático, manteniendo separada su trazabilidad. El Apéndice E presenta las rutas de N₂O directo e indirecto, NH₃, NOx y NO₃⁻ por etapa sin duplicar el inventario completo.</w:t>
      </w:r>
    </w:p>
    <w:p>
      <w:pPr>
        <w:spacing w:line="240" w:lineRule="auto" w:before="0" w:after="0"/>
        <w:ind w:left="100" w:firstLine="719"/>
        <w:jc w:val="both"/>
      </w:pPr>
      <w:r>
        <w:rPr>
          <w:rFonts w:ascii="Times New Roman" w:hAnsi="Times New Roman"/>
          <w:sz w:val="24"/>
        </w:rPr>
        <w:t>La combustión de 182,5 L/año de diésel produjo 476,9 kg/año de CO₂ fósil, 0,06972 kg/año de CH₄ fósil y 0,004457 kg/año de N₂O en cada escenario. Estas masas se caracterizaron después con EF 3.1 y permanecen separadas de las emisiones del manejo resumidas en la Tabla 8.</w:t>
      </w:r>
    </w:p>
    <w:p>
      <w:pPr>
        <w:pStyle w:val="Rótuloacadémico"/>
        <w:keepNext/>
        <w:keepLines/>
      </w:pPr>
      <w:r>
        <w:rPr>
          <w:rFonts w:ascii="Times New Roman" w:hAnsi="Times New Roman"/>
          <w:b/>
          <w:color w:val="000000"/>
        </w:rPr>
        <w:t>Tabla 8</w:t>
      </w:r>
    </w:p>
    <w:p>
      <w:pPr>
        <w:pStyle w:val="Descripciónacadémica"/>
        <w:keepNext/>
        <w:keepLines/>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74,37</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2,49</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44,55</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44,25</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Notadetabla"/>
      </w:pPr>
      <w:r>
        <w:rPr>
          <w:rFonts w:ascii="Times New Roman" w:hAnsi="Times New Roman"/>
          <w:b/>
        </w:rPr>
        <w:t xml:space="preserve">Nota. </w:t>
      </w:r>
      <w:r>
        <w:rPr>
          <w:rFonts w:ascii="Times New Roman" w:hAnsi="Times New Roman"/>
        </w:rPr>
        <w:t>El valor 0 de CO₂ expresa que esta tabla resume las emisiones del manejo del estiércol y que esa ruta no incorpora CO₂ dentro del inventario aprobado; no representa ausencia de información. El CO₂ fósil de la combustión del diésel se cuantifica por separado y se incorpora al indicador de cambio climático, sin añadir CO₂ biogénico.</w:t>
      </w:r>
    </w:p>
    <w:p>
      <w:pPr>
        <w:pStyle w:val="Rótuloacadémico"/>
        <w:keepNext/>
        <w:keepLines/>
      </w:pPr>
      <w:r>
        <w:rPr>
          <w:rFonts w:ascii="Times New Roman" w:hAnsi="Times New Roman"/>
          <w:b/>
          <w:color w:val="000000"/>
        </w:rPr>
        <w:t>Figura 7</w:t>
      </w:r>
    </w:p>
    <w:p>
      <w:pPr>
        <w:pStyle w:val="Descripciónacadémica"/>
        <w:keepNext/>
        <w:keepLines/>
      </w:pPr>
      <w:r>
        <w:rPr>
          <w:rFonts w:ascii="Times New Roman" w:hAnsi="Times New Roman"/>
          <w:i/>
          <w:color w:val="000000"/>
        </w:rPr>
        <w:t>Emisiones anuales de CH₄ por etapa y escenario.</w:t>
      </w:r>
    </w:p>
    <w:p>
      <w:pPr>
        <w:keepLines/>
        <w:ind w:left="0" w:firstLine="0"/>
        <w:jc w:val="center"/>
      </w:pPr>
      <w:r>
        <w:drawing>
          <wp:inline xmlns:a="http://schemas.openxmlformats.org/drawingml/2006/main" xmlns:pic="http://schemas.openxmlformats.org/drawingml/2006/picture">
            <wp:extent cx="5486400" cy="3821927"/>
            <wp:docPr id="7" name="Picture 7"/>
            <wp:cNvGraphicFramePr>
              <a:graphicFrameLocks noChangeAspect="1"/>
            </wp:cNvGraphicFramePr>
            <a:graphic>
              <a:graphicData uri="http://schemas.openxmlformats.org/drawingml/2006/picture">
                <pic:pic>
                  <pic:nvPicPr>
                    <pic:cNvPr id="0" name="fig_06_emisiones_ch4.png"/>
                    <pic:cNvPicPr/>
                  </pic:nvPicPr>
                  <pic:blipFill>
                    <a:blip r:embed="rId16"/>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9 presenta los impactos por etapa. En el Escenario A, A3: Almacenamiento de aguas verdes aportó 53,9 % del cambio climático; en el Escenario B, B1: Almacenamiento de purines aportó 82 %. Las Figuras 8 y 9 muestran la distribución por etapa de cambio climático y eutrofización terrestre.</w:t>
      </w:r>
    </w:p>
    <w:p>
      <w:pPr>
        <w:pStyle w:val="Rótuloacadémico"/>
        <w:keepNext/>
        <w:keepLines/>
      </w:pPr>
      <w:r>
        <w:rPr>
          <w:rFonts w:ascii="Times New Roman" w:hAnsi="Times New Roman"/>
          <w:b/>
          <w:color w:val="000000"/>
        </w:rPr>
        <w:t>Tabla 9</w:t>
      </w:r>
    </w:p>
    <w:p>
      <w:pPr>
        <w:pStyle w:val="Descripciónacadémica"/>
        <w:keepNext/>
        <w:keepLines/>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526</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3,516</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292,7</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604,9</w:t>
            </w:r>
          </w:p>
        </w:tc>
      </w:tr>
    </w:tbl>
    <w:p>
      <w:pPr>
        <w:pStyle w:val="Rótuloacadémico"/>
        <w:keepNext/>
        <w:keepLines/>
      </w:pPr>
      <w:r>
        <w:rPr>
          <w:rFonts w:ascii="Times New Roman" w:hAnsi="Times New Roman"/>
          <w:b/>
          <w:color w:val="000000"/>
        </w:rPr>
        <w:t>Figura 8</w:t>
      </w:r>
    </w:p>
    <w:p>
      <w:pPr>
        <w:pStyle w:val="Descripciónacadémica"/>
        <w:keepNext/>
        <w:keepLines/>
      </w:pPr>
      <w:r>
        <w:rPr>
          <w:rFonts w:ascii="Times New Roman" w:hAnsi="Times New Roman"/>
          <w:i/>
          <w:color w:val="000000"/>
        </w:rPr>
        <w:t>Cambio climático total por etapa y escenario.</w:t>
      </w:r>
    </w:p>
    <w:p>
      <w:pPr>
        <w:keepLines/>
        <w:ind w:left="0" w:firstLine="0"/>
        <w:jc w:val="center"/>
      </w:pPr>
      <w:r>
        <w:drawing>
          <wp:inline xmlns:a="http://schemas.openxmlformats.org/drawingml/2006/main" xmlns:pic="http://schemas.openxmlformats.org/drawingml/2006/picture">
            <wp:extent cx="5486400" cy="3067619"/>
            <wp:docPr id="8" name="Picture 8"/>
            <wp:cNvGraphicFramePr>
              <a:graphicFrameLocks noChangeAspect="1"/>
            </wp:cNvGraphicFramePr>
            <a:graphic>
              <a:graphicData uri="http://schemas.openxmlformats.org/drawingml/2006/picture">
                <pic:pic>
                  <pic:nvPicPr>
                    <pic:cNvPr id="0" name="fig_11_impactos_cambio_climatico_etapa.png"/>
                    <pic:cNvPicPr/>
                  </pic:nvPicPr>
                  <pic:blipFill>
                    <a:blip r:embed="rId17"/>
                    <a:stretch>
                      <a:fillRect/>
                    </a:stretch>
                  </pic:blipFill>
                  <pic:spPr>
                    <a:xfrm>
                      <a:off x="0" y="0"/>
                      <a:ext cx="5486400" cy="3067619"/>
                    </a:xfrm>
                    <a:prstGeom prst="rect"/>
                  </pic:spPr>
                </pic:pic>
              </a:graphicData>
            </a:graphic>
          </wp:inline>
        </w:drawing>
      </w:r>
    </w:p>
    <w:p>
      <w:pPr>
        <w:pStyle w:val="Rótuloacadémico"/>
        <w:keepNext/>
        <w:keepLines/>
      </w:pPr>
      <w:r>
        <w:rPr>
          <w:rFonts w:ascii="Times New Roman" w:hAnsi="Times New Roman"/>
          <w:b/>
          <w:color w:val="000000"/>
        </w:rPr>
        <w:t>Figura 9</w:t>
      </w:r>
    </w:p>
    <w:p>
      <w:pPr>
        <w:pStyle w:val="Descripciónacadémica"/>
        <w:keepNext/>
        <w:keepLines/>
      </w:pPr>
      <w:r>
        <w:rPr>
          <w:rFonts w:ascii="Times New Roman" w:hAnsi="Times New Roman"/>
          <w:i/>
          <w:color w:val="000000"/>
        </w:rPr>
        <w:t>Eutrofización terrestre EF 3.1 por etapa y escenario.</w:t>
      </w:r>
    </w:p>
    <w:p>
      <w:pPr>
        <w:keepLines/>
        <w:ind w:left="0" w:firstLine="0"/>
        <w:jc w:val="center"/>
      </w:pPr>
      <w:r>
        <w:drawing>
          <wp:inline xmlns:a="http://schemas.openxmlformats.org/drawingml/2006/main" xmlns:pic="http://schemas.openxmlformats.org/drawingml/2006/picture">
            <wp:extent cx="5486400" cy="3069746"/>
            <wp:docPr id="9" name="Picture 9"/>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8"/>
                    <a:stretch>
                      <a:fillRect/>
                    </a:stretch>
                  </pic:blipFill>
                  <pic:spPr>
                    <a:xfrm>
                      <a:off x="0" y="0"/>
                      <a:ext cx="5486400" cy="3069746"/>
                    </a:xfrm>
                    <a:prstGeom prst="rect"/>
                  </pic:spPr>
                </pic:pic>
              </a:graphicData>
            </a:graphic>
          </wp:inline>
        </w:drawing>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10 presenta la magnitud anual y la Tabla 11 separa el cambio climático del manejo, la electricidad y el diésel. La Tabla 12 muestra los indicadores por unidad funcional. La Tabla 13 y la Figura 10 presentan la comparación entre escenarios bajo la misma base funcional.</w:t>
      </w:r>
    </w:p>
    <w:p>
      <w:pPr>
        <w:pStyle w:val="Rótuloacadémico"/>
        <w:keepNext/>
        <w:keepLines/>
      </w:pPr>
      <w:r>
        <w:rPr>
          <w:rFonts w:ascii="Times New Roman" w:hAnsi="Times New Roman"/>
          <w:b/>
          <w:color w:val="000000"/>
        </w:rPr>
        <w:t>Tabla 10</w:t>
      </w:r>
    </w:p>
    <w:p>
      <w:pPr>
        <w:pStyle w:val="Descripciónacadémica"/>
        <w:keepNext/>
        <w:keepLines/>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3 170</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617,1</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15,65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w:t>
            </w:r>
          </w:p>
        </w:tc>
      </w:tr>
    </w:tbl>
    <w:p>
      <w:pPr>
        <w:pStyle w:val="Rótuloacadémico"/>
        <w:keepNext/>
        <w:keepLines/>
      </w:pPr>
      <w:r>
        <w:rPr>
          <w:rFonts w:ascii="Times New Roman" w:hAnsi="Times New Roman"/>
          <w:b/>
          <w:color w:val="000000"/>
        </w:rPr>
        <w:t>Tabla 11</w:t>
      </w:r>
    </w:p>
    <w:p>
      <w:pPr>
        <w:pStyle w:val="Descripciónacadémica"/>
        <w:keepNext/>
        <w:keepLines/>
      </w:pPr>
      <w:r>
        <w:rPr>
          <w:rFonts w:ascii="Times New Roman" w:hAnsi="Times New Roman"/>
          <w:i/>
          <w:color w:val="000000"/>
        </w:rPr>
        <w:t>Contribuciones al cambio climático del manejo y los recursos operativos.</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Manejo del estiércol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Electricidad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Diésel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climático total (kg CO₂-eq/año)</w:t>
            </w:r>
          </w:p>
        </w:tc>
      </w:tr>
      <w:tr>
        <w:trPr>
          <w:cantSplit/>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2 688</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2,209</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480,2</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3 170</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w:t>
            </w:r>
          </w:p>
        </w:tc>
      </w:tr>
    </w:tbl>
    <w:p>
      <w:pPr>
        <w:pStyle w:val="Rótuloacadémico"/>
        <w:keepNext/>
        <w:keepLines/>
      </w:pPr>
      <w:r>
        <w:rPr>
          <w:rFonts w:ascii="Times New Roman" w:hAnsi="Times New Roman"/>
          <w:b/>
          <w:color w:val="000000"/>
        </w:rPr>
        <w:t>Tabla 12</w:t>
      </w:r>
    </w:p>
    <w:p>
      <w:pPr>
        <w:pStyle w:val="Descripciónacadémica"/>
        <w:keepNext/>
        <w:keepLines/>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0,1206</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0,02348</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5,955 × 10⁻⁴</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keepLines/>
      </w:pPr>
      <w:r>
        <w:rPr>
          <w:rFonts w:ascii="Times New Roman" w:hAnsi="Times New Roman"/>
          <w:b/>
          <w:color w:val="000000"/>
        </w:rPr>
        <w:t>Tabla 13</w:t>
      </w:r>
    </w:p>
    <w:p>
      <w:pPr>
        <w:pStyle w:val="Descripciónacadémica"/>
        <w:keepNext/>
        <w:keepLines/>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3 170</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6 254</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3 084</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97,3</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keepLines/>
      </w:pPr>
      <w:r>
        <w:rPr>
          <w:rFonts w:ascii="Times New Roman" w:hAnsi="Times New Roman"/>
          <w:b/>
          <w:color w:val="000000"/>
        </w:rPr>
        <w:t>Figura 10</w:t>
      </w:r>
    </w:p>
    <w:p>
      <w:pPr>
        <w:pStyle w:val="Descripciónacadémica"/>
        <w:keepNext/>
        <w:keepLines/>
      </w:pPr>
      <w:r>
        <w:rPr>
          <w:rFonts w:ascii="Times New Roman" w:hAnsi="Times New Roman"/>
          <w:i/>
          <w:color w:val="000000"/>
        </w:rPr>
        <w:t>Diferencia porcentual del Escenario B respecto al Escenario A por categoría de impacto.</w:t>
      </w:r>
    </w:p>
    <w:p>
      <w:pPr>
        <w:keepLines/>
        <w:ind w:left="0" w:firstLine="0"/>
        <w:jc w:val="center"/>
      </w:pPr>
      <w:r>
        <w:drawing>
          <wp:inline xmlns:a="http://schemas.openxmlformats.org/drawingml/2006/main" xmlns:pic="http://schemas.openxmlformats.org/drawingml/2006/picture">
            <wp:extent cx="5486400" cy="3960495"/>
            <wp:docPr id="10" name="Picture 10"/>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9"/>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14 contrasta las estimaciones oficiales de A2: Lombricompostaje con Jjagwe et al. (2019) sobre una base material armonizada. El contraste apoya la interpretación, pero no sustituye el inventario oficial ni constituye una validación formal del modelo.</w:t>
      </w:r>
    </w:p>
    <w:p>
      <w:pPr>
        <w:spacing w:line="240" w:lineRule="auto" w:before="0" w:after="0"/>
        <w:ind w:left="100" w:firstLine="719"/>
        <w:jc w:val="both"/>
      </w:pPr>
      <w:r>
        <w:rPr>
          <w:rFonts w:ascii="Times New Roman" w:hAnsi="Times New Roman"/>
          <w:sz w:val="24"/>
        </w:rPr>
        <w:t>La fuente presenta una inconsistencia interna para N₂O: el resumen imprime 3,943 × 10⁻⁵ g/kg de materia seca, equivalentes matemáticamente a 0,03943 mg/kg, mientras la sección de resultados informa aproximadamente 40 mg/kg. La escala de la Figura 3 y el potencial de calentamiento global publicado de 324 kg CO₂-eq/t de residuo, calculado por los autores con factores de 1, 28 y 265 para CO₂, CH₄ y N₂O, respectivamente, son coherentes con el orden de decenas de miligramos. Conforme a la decisión metodológica vigente, el contraste conserva 39,43 mg/kg; esta selección documenta una inconsistencia editorial interna de la fuente y no modifica el inventario productivo de A2.</w:t>
      </w:r>
    </w:p>
    <w:p>
      <w:pPr>
        <w:pStyle w:val="Rótuloacadémico"/>
        <w:keepNext/>
        <w:keepLines/>
      </w:pPr>
      <w:r>
        <w:rPr>
          <w:rFonts w:ascii="Times New Roman" w:hAnsi="Times New Roman"/>
          <w:b/>
          <w:color w:val="000000"/>
        </w:rPr>
        <w:t>Tabla 14</w:t>
      </w:r>
    </w:p>
    <w:p>
      <w:pPr>
        <w:pStyle w:val="Descripciónacadémica"/>
        <w:keepNext/>
        <w:keepLines/>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3,016</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−4,584</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0,3968</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−60,32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579,8</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w:t>
            </w:r>
          </w:p>
        </w:tc>
      </w:tr>
    </w:tbl>
    <w:p>
      <w:pPr>
        <w:pStyle w:val="Heading2"/>
      </w:pPr>
      <w:r>
        <w:rPr>
          <w:rFonts w:ascii="Times New Roman" w:hAnsi="Times New Roman"/>
          <w:color w:val="000000"/>
        </w:rPr>
        <w:t>5.5 Resultados de la verificación independiente Python–SimaPro</w:t>
      </w:r>
    </w:p>
    <w:p>
      <w:pPr>
        <w:pStyle w:val="Heading3"/>
      </w:pPr>
      <w:r>
        <w:rPr>
          <w:rFonts w:ascii="Times New Roman" w:hAnsi="Times New Roman"/>
          <w:color w:val="000000"/>
        </w:rPr>
        <w:t>5.5.1 Comprobación de factores y casos unitarios</w:t>
      </w:r>
    </w:p>
    <w:p>
      <w:pPr>
        <w:spacing w:line="240" w:lineRule="auto" w:before="0" w:after="0"/>
        <w:ind w:left="100" w:firstLine="719"/>
        <w:jc w:val="both"/>
      </w:pPr>
      <w:r>
        <w:rPr>
          <w:rFonts w:ascii="Times New Roman" w:hAnsi="Times New Roman"/>
          <w:sz w:val="24"/>
        </w:rPr>
        <w:t>Se inspeccionaron las nueve combinaciones activas de factores EF 3.1 y se ejecutaron cinco procesos unitarios. Estos cinco procesos produjeron siete resultados de categoría observables, porque NH₃ y NOx contribuyen tanto a eutrofización terrestre como marina. Seis resultados recibieron clasificación A por concordancia dentro de la precisión mostrada. El resultado terrestre de NH₃ fue visible como 13,5 mol N-eq frente al factor 13,47 mol N-eq/kg NH₃ y recibió clasificación B por redondeo de presentación. No quedó ninguna discrepancia científica sin resolver.</w:t>
      </w:r>
    </w:p>
    <w:p>
      <w:pPr>
        <w:spacing w:line="240" w:lineRule="auto" w:before="0" w:after="0"/>
        <w:ind w:left="100" w:firstLine="719"/>
        <w:jc w:val="both"/>
      </w:pPr>
      <w:r>
        <w:rPr>
          <w:rFonts w:ascii="Times New Roman" w:hAnsi="Times New Roman"/>
          <w:sz w:val="24"/>
        </w:rPr>
        <w:t>Los factores de CO₂ fósil y CH₄ fósil coincidieron en la inspección directa, aunque no contaron con procesos unitarios independientes. El Apéndice F, Trazabilidad de la verificación independiente Python–SimaPro, presenta las nueve combinaciones sin confundirlas con nueve procesos ejecutados.</w:t>
      </w:r>
    </w:p>
    <w:p>
      <w:pPr>
        <w:pStyle w:val="Heading3"/>
      </w:pPr>
      <w:r>
        <w:rPr>
          <w:rFonts w:ascii="Times New Roman" w:hAnsi="Times New Roman"/>
          <w:color w:val="000000"/>
        </w:rPr>
        <w:t>5.5.2 Comparación agregada PROVISIONAL M1–M2</w:t>
      </w:r>
    </w:p>
    <w:p>
      <w:pPr>
        <w:spacing w:line="240" w:lineRule="auto" w:before="0" w:after="0"/>
        <w:ind w:left="100" w:firstLine="719"/>
        <w:jc w:val="both"/>
      </w:pPr>
      <w:r>
        <w:rPr>
          <w:rFonts w:ascii="Times New Roman" w:hAnsi="Times New Roman"/>
          <w:sz w:val="24"/>
        </w:rPr>
        <w:t>La Tabla 15 compara los seis subtotales obtenidos con Python y observados en SimaPro. Las diferencias se calcularon como SimaPro menos Python; las seis comparaciones recibieron clasificación A por concordancia dentro de la precisión mostrada.</w:t>
      </w:r>
    </w:p>
    <w:p>
      <w:pPr>
        <w:spacing w:line="240" w:lineRule="auto" w:before="0" w:after="0"/>
        <w:ind w:left="100" w:firstLine="719"/>
        <w:jc w:val="both"/>
      </w:pPr>
      <w:r>
        <w:rPr>
          <w:rFonts w:ascii="Times New Roman" w:hAnsi="Times New Roman"/>
          <w:sz w:val="24"/>
        </w:rPr>
        <w:t>En cambio climático, la comparación no utiliza el total publicado del ACV. Utiliza el subtotal verificable mediante EF 3.1, compuesto por los flujos elementales del manejo y las emisiones fósiles del diésel. La contribución eléctrica agregada del IMN está excluida de ambos lados de esta comprobación; por tanto, estos valores climáticos no deben compararse ni sustituirse por el total climático que aparece en las tablas principales del ACV.</w:t>
      </w:r>
    </w:p>
    <w:p>
      <w:pPr>
        <w:pStyle w:val="Rótuloacadémico"/>
        <w:keepNext/>
        <w:keepLines/>
      </w:pPr>
      <w:r>
        <w:rPr>
          <w:rFonts w:ascii="Times New Roman" w:hAnsi="Times New Roman"/>
          <w:b/>
          <w:color w:val="000000"/>
        </w:rPr>
        <w:t>Tabla 15</w:t>
      </w:r>
    </w:p>
    <w:p>
      <w:pPr>
        <w:pStyle w:val="Descripciónacadémica"/>
        <w:keepNext/>
        <w:keepLines/>
      </w:pPr>
      <w:r>
        <w:rPr>
          <w:rFonts w:ascii="Times New Roman" w:hAnsi="Times New Roman"/>
          <w:i/>
          <w:color w:val="000000"/>
        </w:rPr>
        <w:t>Comparación agregada de la caracterización EF 3.1 entre Python y SimaPro.</w:t>
      </w:r>
    </w:p>
    <w:tbl>
      <w:tblPr>
        <w:tblW w:type="auto" w:w="0"/>
        <w:jc w:val="center"/>
        <w:tblLayout w:type="fixed"/>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Escenario</w:t>
            </w:r>
          </w:p>
        </w:tc>
        <w:tc>
          <w:tcPr>
            <w:tcW w:type="dxa" w:w="237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Categoría y unidad</w:t>
            </w:r>
          </w:p>
        </w:tc>
        <w:tc>
          <w:tcPr>
            <w:tcW w:type="dxa" w:w="194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Python</w:t>
            </w:r>
          </w:p>
        </w:tc>
        <w:tc>
          <w:tcPr>
            <w:tcW w:type="dxa" w:w="151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SimaPro</w:t>
            </w:r>
          </w:p>
        </w:tc>
        <w:tc>
          <w:tcPr>
            <w:tcW w:type="dxa" w:w="208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Diferencia (SimaPro − Python)</w:t>
            </w:r>
          </w:p>
        </w:tc>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Clasificación</w:t>
            </w:r>
          </w:p>
        </w:tc>
      </w:tr>
      <w:tr>
        <w:trPr>
          <w:cantSplit/>
        </w:trPr>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A</w:t>
            </w:r>
          </w:p>
        </w:tc>
        <w:tc>
          <w:tcPr>
            <w:tcW w:type="dxa" w:w="237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Cambio climático (kg CO₂-eq)</w:t>
            </w:r>
          </w:p>
        </w:tc>
        <w:tc>
          <w:tcPr>
            <w:tcW w:type="dxa" w:w="194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3 167,9045</w:t>
            </w:r>
          </w:p>
        </w:tc>
        <w:tc>
          <w:tcPr>
            <w:tcW w:type="dxa" w:w="151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3 167,9045</w:t>
            </w:r>
          </w:p>
        </w:tc>
        <w:tc>
          <w:tcPr>
            <w:tcW w:type="dxa" w:w="208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−1,99 × 10⁻⁵</w:t>
            </w:r>
          </w:p>
        </w:tc>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marina (kg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15,648348</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15,648348</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+1,75 × 10⁻⁷</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terrestre (mol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617,05171</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617,05171</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−2,51 × 10⁻⁶</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B</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Cambio climático (kg CO₂-eq)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6 252,0981</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6 252,0981</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−3,68 × 10⁻⁵</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B</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marina (kg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35,622315</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35,622315</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−2,16 × 10⁻⁷</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B</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terrestre (mol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961,26931</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961,26931</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+1,8 × 10⁻⁶</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bl>
    <w:p>
      <w:pPr>
        <w:pStyle w:val="Notadetabla"/>
      </w:pPr>
      <w:r>
        <w:rPr>
          <w:rFonts w:ascii="Times New Roman" w:hAnsi="Times New Roman"/>
          <w:b/>
        </w:rPr>
        <w:t xml:space="preserve">Nota. </w:t>
      </w:r>
      <w:r>
        <w:rPr>
          <w:rFonts w:ascii="Times New Roman" w:hAnsi="Times New Roman"/>
        </w:rPr>
        <w:t>Resultados de la sesión del 7 de octubre de 2026. El subtotal de cambio climático excluye la electricidad agregada del IMN y no equivale al cambio climático total publicado por el ACV. Todas las diferencias corresponden a SimaPro menos Python.</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97,3 %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predominio climático de A3 y B1 coincide con la concentración de CH₄ en el almacenamiento líquido; el predominio de eutrofización marina de A4 y B2 coincide con las pérdidas de NO₃⁻ de la aplicación al suelo. Para eutrofización terrestre, las emisiones atmosféricas de NH₃ y NOx permiten interpretar la importancia relativa de A1 y B2 sin atribuir causalidad fuera de las relaciones de caracterización aplicadas.</w:t>
      </w:r>
    </w:p>
    <w:p>
      <w:pPr>
        <w:spacing w:line="240" w:lineRule="auto" w:before="0" w:after="0"/>
        <w:ind w:left="100" w:firstLine="719"/>
        <w:jc w:val="both"/>
      </w:pPr>
      <w:r>
        <w:rPr>
          <w:rFonts w:ascii="Times New Roman" w:hAnsi="Times New Roman"/>
          <w:sz w:val="24"/>
        </w:rPr>
        <w:t>Los dos escenarios incorporaron el mismo consumo anual de 53,23 kWh de electricidad y 182,5 L de diésel. Por ello, sus contribuciones operativas al cambio climático fueron iguales: 2,209 kg CO₂-eq/año por electricidad y 480,2 kg CO₂-eq/año por diésel. Estas cargas comunes no explican la diferencia entre escenarios, que se mantiene asociada con las emisiones del manejo dentro de la frontera estudiada.</w:t>
      </w:r>
    </w:p>
    <w:p>
      <w:pPr>
        <w:spacing w:line="240" w:lineRule="auto" w:before="0" w:after="0"/>
        <w:ind w:left="100" w:firstLine="719"/>
        <w:jc w:val="both"/>
      </w:pPr>
      <w:r>
        <w:rPr>
          <w:rFonts w:ascii="Times New Roman" w:hAnsi="Times New Roman"/>
          <w:sz w:val="24"/>
        </w:rPr>
        <w:t>La evidencia provisional no permite generalizar una superioridad universal fuera de la lechería y de las condiciones modeladas.</w:t>
      </w:r>
    </w:p>
    <w:p>
      <w:pPr>
        <w:pStyle w:val="Heading3"/>
      </w:pPr>
      <w:r>
        <w:rPr>
          <w:rFonts w:ascii="Times New Roman" w:hAnsi="Times New Roman"/>
          <w:color w:val="000000"/>
        </w:rPr>
        <w:t>6.1.1 Interpretación del contraste experimental del nitrógeno</w:t>
      </w:r>
    </w:p>
    <w:p>
      <w:pPr>
        <w:spacing w:line="240" w:lineRule="auto" w:before="0" w:after="0"/>
        <w:ind w:left="100" w:firstLine="719"/>
        <w:jc w:val="both"/>
      </w:pPr>
      <w:r>
        <w:rPr>
          <w:rFonts w:ascii="Times New Roman" w:hAnsi="Times New Roman"/>
          <w:sz w:val="24"/>
        </w:rPr>
        <w:t>En A1, el N residual modelado superó a la referencia derivada del precompostado en 13,9 kg N/año (36,2 %). El resultado indica concordancia limitada entre ambas construcciones, pero no demuestra que el modelo subestime o sobreestime una ruta específica. El N del estiércol fresco se determinó mediante Kjeldahl y el del precompostado mediante Dumas sobre material acondicionado; la conversión a base húmeda combinó este último resultado con materia seca gravimétrica independiente. Además, la masa de A2 se infirió mediante conservación supuesta de cenizas y las muestras no correspondieron a un mismo lote pesado antes y después del precomposteo.</w:t>
      </w:r>
    </w:p>
    <w:p>
      <w:pPr>
        <w:spacing w:line="240" w:lineRule="auto" w:before="0" w:after="0"/>
        <w:ind w:left="100" w:firstLine="719"/>
        <w:jc w:val="both"/>
      </w:pPr>
      <w:r>
        <w:rPr>
          <w:rFonts w:ascii="Times New Roman" w:hAnsi="Times New Roman"/>
          <w:sz w:val="24"/>
        </w:rPr>
        <w:t>En aguas verdes, la concentración modelada fue 58,3 % mayor que la medición M2. Esta discrepancia puede relacionarse hipotéticamente con diferencias entre la dilución anual teórica y la condición puntual muestreada, así como con la acumulación, la residencia, la mezcla, la sedimentación o entradas no representadas con igual detalle. La muestra de la tanqueta no estuvo acompañada por una descarga real medida que permitiera convertir la concentración en un balance anual observado.</w:t>
      </w:r>
    </w:p>
    <w:p>
      <w:pPr>
        <w:spacing w:line="240" w:lineRule="auto" w:before="0" w:after="0"/>
        <w:ind w:left="100" w:firstLine="719"/>
        <w:jc w:val="both"/>
      </w:pPr>
      <w:r>
        <w:rPr>
          <w:rFonts w:ascii="Times New Roman" w:hAnsi="Times New Roman"/>
          <w:sz w:val="24"/>
        </w:rPr>
        <w:t>En purines se obtuvo la discrepancia relativa de mayor magnitud entre los tres contrastes: +195,7 %. Con el redondeo adoptado, la concentración modelada fue mayor que la medición M2. Su magnitud no demuestra una pérdida gaseosa mayor ni una pérdida real total de N, porque la concentración modelada combina N propagado, una masa teórica de estiércol depositado y agua anualizada, mientras la referencia procede de muestras M2 de una operación temporal. La dilución efectiva, las condiciones de acumulación y la representatividad temporal pueden contribuir a la discrepancia, pero no fueron identificadas causalmente por el diseño experimental.</w:t>
      </w:r>
    </w:p>
    <w:p>
      <w:pPr>
        <w:spacing w:line="240" w:lineRule="auto" w:before="0" w:after="0"/>
        <w:ind w:left="100" w:firstLine="719"/>
        <w:jc w:val="both"/>
      </w:pPr>
      <w:r>
        <w:rPr>
          <w:rFonts w:ascii="Times New Roman" w:hAnsi="Times New Roman"/>
          <w:sz w:val="24"/>
        </w:rPr>
        <w:t>El cierre del balance demuestra coherencia matemática de las ecuaciones implementadas. El contraste anterior constituye una evaluación parcial de plausibilidad frente a determinaciones experimentales. Una validación experimental completa requeriría masas de entrada y salida emparejadas en A1 y caudales o masas reales de descarga asociados con las muestras líquidas, además de evidencia que permitiera diferenciar las rutas de N.</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11,5 % del N total de entrada. La Tabla 16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interpretar el modelo provisional. La consistencia continuará verificándose mediante cierre de balances, igualdad del flujo funcional e integridad temporal del análisis.</w:t>
      </w:r>
    </w:p>
    <w:p>
      <w:pPr>
        <w:pStyle w:val="Rótuloacadémico"/>
        <w:keepNext/>
        <w:keepLines/>
      </w:pPr>
      <w:r>
        <w:rPr>
          <w:rFonts w:ascii="Times New Roman" w:hAnsi="Times New Roman"/>
          <w:b/>
          <w:color w:val="000000"/>
        </w:rPr>
        <w:t>Tabla 16</w:t>
      </w:r>
    </w:p>
    <w:p>
      <w:pPr>
        <w:pStyle w:val="Descripciónacadémica"/>
        <w:keepNext/>
        <w:keepLines/>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51,84</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11,5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Heading2"/>
      </w:pPr>
      <w:r>
        <w:rPr>
          <w:rFonts w:ascii="Times New Roman" w:hAnsi="Times New Roman"/>
          <w:color w:val="000000"/>
        </w:rPr>
        <w:t>6.4 Alcance de la verificación Python–SimaPro</w:t>
      </w:r>
    </w:p>
    <w:p>
      <w:pPr>
        <w:spacing w:line="240" w:lineRule="auto" w:before="0" w:after="0"/>
        <w:ind w:left="100" w:firstLine="719"/>
        <w:jc w:val="both"/>
      </w:pPr>
      <w:r>
        <w:rPr>
          <w:rFonts w:ascii="Times New Roman" w:hAnsi="Times New Roman"/>
          <w:sz w:val="24"/>
        </w:rPr>
        <w:t>La concordancia observada permite afirmar únicamente que, para los flujos, compartimentos y categorías comprobados, la caracterización EF 3.1 implementada en Python fue consistente con la caracterización observada de forma independiente en SimaPro dentro de la precisión disponible. La diferencia del caso terrestre de NH₃, visible como 13,5 frente a 13,47, se explica por la presentación redondeada del resultado unitario: el factor 13,47 fue observado directamente y no se identificó una diferencia metodológica.</w:t>
      </w:r>
    </w:p>
    <w:p>
      <w:pPr>
        <w:spacing w:line="240" w:lineRule="auto" w:before="0" w:after="0"/>
        <w:ind w:left="100" w:firstLine="719"/>
        <w:jc w:val="both"/>
      </w:pPr>
      <w:r>
        <w:rPr>
          <w:rFonts w:ascii="Times New Roman" w:hAnsi="Times New Roman"/>
          <w:sz w:val="24"/>
        </w:rPr>
        <w:t>Esta comprobación no valida el inventario, la exactitud de los factores IPCC o EMEP/EEA, la representatividad experimental, la contribución eléctrica agregada del IMN, los procesos de fondo ni la superioridad general de un escenario. Tampoco comprende M3. Su alcance es exclusivamente la consistencia de la caracterización EF 3.1 de los flujos incluidos en la corrida PROVISIONAL M1–M2.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integración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aproximadamente 26 278,7 kg de estiércol fresco. En el Escenario A, 66,7 % ingresó a la ruta sólida mediante A1: Precomposteo; posteriormente, la masa resultante continuó hacia A2: Lombricompostaje, mientras que 33,3 %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53,9 % del total del Escenario A y B1: Almacenamiento de purines aportó 82 % del total del Escenario B. En eutrofización terrestre, A1: Precomposteo aportó 47,4 % del total del Escenario A y B2: Aplicación de purines en campo de pastoreo aportó 62,9 % del total del Escenario B. En eutrofización marina, A4: Aplicación de aguas verdes en campos de pastoreo aportó 70,6 % del total del Escenario A y B2: Aplicación de purines en campo de pastoreo aportó 93,1 %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0,1206 kg CO₂-eq/kg de estiércol fresco manejado en el Escenario A. La diferencia B menos A fue de 97,3 %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5,955 × 10⁻⁴ kg N-eq/kg en el Escenario A. La diferencia B menos A fue de 127,6 % respecto a A. Para eutrofización terrestre, el Escenario B también presentó el mayor impacto por unidad funcional: 0,03658 mol N-eq/kg de estiércol fresco manejado, frente a 0,02348 mol N-eq/kg en el Escenario A; la diferencia B menos A fue de 55,8 %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b/>
          <w:sz w:val="24"/>
        </w:rPr>
        <w:t xml:space="preserve">Conclusión provisional 6. </w:t>
      </w:r>
      <w:r>
        <w:rPr>
          <w:rFonts w:ascii="Times New Roman" w:hAnsi="Times New Roman"/>
          <w:sz w:val="24"/>
        </w:rPr>
        <w:t>El contraste provisional del nitrógeno mostró diferencias modelo menos referencia de +36,2 % en el N residual de A1, +58,3 % en aguas verdes y +195,7 % en purines. Con el redondeo adoptado, el modelo superó la referencia en A1, superó la referencia en aguas verdes y superó la referencia en purines. Estas discrepancias delimitan la concordancia observada y orientan la revisión posterior a M3, pero no permiten validar experimentalmente los factores IPCC–EMEP/EEA ni atribuir la diferencia a mecanismos específicos.</w:t>
      </w:r>
    </w:p>
    <w:p>
      <w:pPr>
        <w:spacing w:line="240" w:lineRule="auto" w:before="0" w:after="0"/>
        <w:ind w:left="100" w:firstLine="719"/>
        <w:jc w:val="both"/>
      </w:pPr>
      <w:r>
        <w:rPr>
          <w:rFonts w:ascii="Times New Roman" w:hAnsi="Times New Roman"/>
          <w:sz w:val="24"/>
        </w:rPr>
        <w:t>Como comprobación complementaria, la caracterización EF 3.1 implementada en Python presentó concordancia con la verificación independiente mediante SimaPro para los flujos examinados y dentro de la precisión disponible. Este resultado no sustituye las conclusiones ambientales del ACV ni amplía el alcance provisional M1–M2.</w:t>
      </w:r>
    </w:p>
    <w:p>
      <w:pPr>
        <w:spacing w:line="240" w:lineRule="auto" w:before="0" w:after="0"/>
        <w:ind w:left="100" w:firstLine="719"/>
        <w:jc w:val="both"/>
      </w:pPr>
      <w:r>
        <w:rPr>
          <w:rFonts w:ascii="Times New Roman" w:hAnsi="Times New Roman"/>
          <w:sz w:val="24"/>
        </w:rPr>
        <w:t>El Apéndice A, Correspondencia entre objetivos, resultados y conclusiones provisionales, sintetiza la relación entre los objetivos del estudio y la evidencia presentada sin duplicar los resultados numéricos de las tablas principales.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Las recomendaciones se organizan en tres ámbitos: las comprobaciones pendientes para concluir el estudio actual, las líneas de investigación que permitirían ampliar la evidencia disponible y las prácticas de manejo que conviene evaluar experimentalmente en la lechería.</w:t>
      </w:r>
    </w:p>
    <w:p>
      <w:pPr>
        <w:pStyle w:val="Heading2"/>
      </w:pPr>
      <w:r>
        <w:rPr>
          <w:rFonts w:ascii="Times New Roman" w:hAnsi="Times New Roman"/>
          <w:color w:val="000000"/>
        </w:rPr>
        <w:t>8.1 Comprobaciones necesarias para concluir el estudio actual</w:t>
      </w:r>
    </w:p>
    <w:p>
      <w:pPr>
        <w:spacing w:line="240" w:lineRule="auto" w:before="0" w:after="0"/>
        <w:ind w:left="100" w:firstLine="719"/>
        <w:jc w:val="both"/>
      </w:pPr>
      <w:r>
        <w:rPr>
          <w:rFonts w:ascii="Times New Roman" w:hAnsi="Times New Roman"/>
          <w:sz w:val="24"/>
        </w:rPr>
        <w:t>Completar la caracterización analítica de M3 e integrar únicamente las determinaciones comparables con M1 y M2 constituye una actividad pendiente del TFG, no una línea de investigación posterior. Con la integración completa se deben volver a estimar los parámetros experimentales, las emisiones y los indicadores de impacto, y comprobar si se mantienen las etapas dominantes y la comparación entre escenarios.</w:t>
      </w:r>
    </w:p>
    <w:p>
      <w:pPr>
        <w:spacing w:line="240" w:lineRule="auto" w:before="0" w:after="0"/>
        <w:ind w:left="100" w:firstLine="719"/>
        <w:jc w:val="both"/>
      </w:pPr>
      <w:r>
        <w:rPr>
          <w:rFonts w:ascii="Times New Roman" w:hAnsi="Times New Roman"/>
          <w:sz w:val="24"/>
        </w:rPr>
        <w:t>Antes de formular las conclusiones definitivas, se debe comprobar la robustez de la comparación mediante un análisis de sensibilidad acotado a los supuestos con capacidad material de modificarla. La prioridad corresponde al MCF y a B₀ del almacenamiento líquido, por la contribución de A3 y B1 al cambio climático; en segundo término deben examinarse la relación inicial entre nitrógeno amoniacal total y N total, los factores de A2 y los factores de las aplicaciones A4 y B2. Esta comprobación, basada en rangos plausibles y documentados, debe establecer si la jerarquía de etapas y el orden relativo de los escenarios se conservan; un análisis probabilístico más amplio corresponde a una investigación posterior.</w:t>
      </w:r>
    </w:p>
    <w:p>
      <w:pPr>
        <w:pStyle w:val="Heading2"/>
      </w:pPr>
      <w:r>
        <w:rPr>
          <w:rFonts w:ascii="Times New Roman" w:hAnsi="Times New Roman"/>
          <w:color w:val="000000"/>
        </w:rPr>
        <w:t>8.2 Recomendaciones para futuras investigaciones</w:t>
      </w:r>
    </w:p>
    <w:p>
      <w:pPr>
        <w:spacing w:line="240" w:lineRule="auto" w:before="0" w:after="0"/>
        <w:ind w:left="100" w:firstLine="719"/>
        <w:jc w:val="both"/>
      </w:pPr>
      <w:r>
        <w:rPr>
          <w:rFonts w:ascii="Times New Roman" w:hAnsi="Times New Roman"/>
          <w:sz w:val="24"/>
        </w:rPr>
        <w:t>Como primera prioridad experimental, se recomienda cuantificar directamente las emisiones de CH₄ durante ciclos completos de acumulación y descarga en A3: Almacenamiento de aguas verdes y B1: Almacenamiento de purines, bajo distintas condiciones climáticas. Las variables principales son el flujo de CH₄, el volumen almacenado, el tiempo de residencia y el contenido de sólidos volátiles; la temperatura y las condiciones de mezcla constituyen variables explicativas complementarias. Estas mediciones permitirían contrastar la estimación basada en un MCF de 38 %, no determinado para la residencia operativa aproximada de tres días. La prioridad se fundamenta en que A3 aportó 53,9 % del cambio climático del Escenario A y B1 aportó 82 % del correspondiente al Escenario B.</w:t>
      </w:r>
    </w:p>
    <w:p>
      <w:pPr>
        <w:spacing w:line="240" w:lineRule="auto" w:before="0" w:after="0"/>
        <w:ind w:left="100" w:firstLine="719"/>
        <w:jc w:val="both"/>
      </w:pPr>
      <w:r>
        <w:rPr>
          <w:rFonts w:ascii="Times New Roman" w:hAnsi="Times New Roman"/>
          <w:sz w:val="24"/>
        </w:rPr>
        <w:t>Como segunda prioridad, se recomienda medir las pérdidas de N asociadas con las etapas que dominaron la eutrofización. Las variables principales son la volatilización de NH₃ en A1: Precomposteo y B2: Aplicación de purines en campo de pastoreo, y la pérdida de NO₃⁻ por lixiviación o escorrentía en A4: Aplicación de aguas verdes en campos de pastoreo y B2. Las emisiones de N₂O y NOx, el N residual del suelo y la absorción por el pasto aportarían información complementaria para interpretar los mecanismos y detectar posibles transferencias entre categorías de impacto.</w:t>
      </w:r>
    </w:p>
    <w:p>
      <w:pPr>
        <w:spacing w:line="240" w:lineRule="auto" w:before="0" w:after="0"/>
        <w:ind w:left="100" w:firstLine="719"/>
        <w:jc w:val="both"/>
      </w:pPr>
      <w:r>
        <w:rPr>
          <w:rFonts w:ascii="Times New Roman" w:hAnsi="Times New Roman"/>
          <w:sz w:val="24"/>
        </w:rPr>
        <w:t>Se recomienda además construir balances experimentales emparejados de masa y N. En A1 y A2: Lombricompostaje deben pesarse y caracterizarse los mismos lotes a la entrada y a la salida, incluido el lombricompost terminado; en A3 y B1 las muestras deben vincularse con volúmenes o masas reales de descarga. La masa total, el N total y el nitrógeno amoniacal total son las variables principales; la especiación del N y la caracterización del producto final son complementarias. Este diseño permitiría investigar las diferencias modelo menos referencia de +36,2 % en A1, +58,3 % en aguas verdes y +195,7 % en purines sin asignarlas de antemano a mecanismos específicos.</w:t>
      </w:r>
    </w:p>
    <w:p>
      <w:pPr>
        <w:spacing w:line="240" w:lineRule="auto" w:before="0" w:after="0"/>
        <w:ind w:left="100" w:firstLine="719"/>
        <w:jc w:val="both"/>
      </w:pPr>
      <w:r>
        <w:rPr>
          <w:rFonts w:ascii="Times New Roman" w:hAnsi="Times New Roman"/>
          <w:sz w:val="24"/>
        </w:rPr>
        <w:t>Con datos directos de emisiones y balances emparejados, investigaciones posteriores podrían desarrollar un análisis probabilístico de incertidumbre que integre variabilidad temporal, incertidumbre paramétrica y correlaciones entre variables. Su finalidad sería estimar la probabilidad de que cambien las etapas dominantes o el orden relativo de los escenarios y evaluar la transferibilidad de los resultados a otras condiciones de manejo, sin sustituir la comprobación de sensibilidad requerida para concluir el TFG actual.</w:t>
      </w:r>
    </w:p>
    <w:p>
      <w:pPr>
        <w:pStyle w:val="Heading2"/>
      </w:pPr>
      <w:r>
        <w:rPr>
          <w:rFonts w:ascii="Times New Roman" w:hAnsi="Times New Roman"/>
          <w:color w:val="000000"/>
        </w:rPr>
        <w:t>8.3 Evaluación de posibles mejoras de manejo</w:t>
      </w:r>
    </w:p>
    <w:p>
      <w:pPr>
        <w:spacing w:line="240" w:lineRule="auto" w:before="0" w:after="0"/>
        <w:ind w:left="100" w:firstLine="719"/>
        <w:jc w:val="both"/>
      </w:pPr>
      <w:r>
        <w:rPr>
          <w:rFonts w:ascii="Times New Roman" w:hAnsi="Times New Roman"/>
          <w:sz w:val="24"/>
        </w:rPr>
        <w:t>Los resultados provisionales justifican continuar la comparación de la separación de las fracciones sólidas y líquidas del Escenario A frente al manejo conjunto del Escenario B, pero no sustentan todavía la selección definitiva de uno de ellos. Una decisión de manejo debe considerar los resultados finales del ACV junto con la factibilidad operativa y el desempeño agronómico observados en la lechería.</w:t>
      </w:r>
    </w:p>
    <w:p>
      <w:pPr>
        <w:spacing w:line="240" w:lineRule="auto" w:before="0" w:after="0"/>
        <w:ind w:left="100" w:firstLine="719"/>
        <w:jc w:val="both"/>
      </w:pPr>
      <w:r>
        <w:rPr>
          <w:rFonts w:ascii="Times New Roman" w:hAnsi="Times New Roman"/>
          <w:sz w:val="24"/>
        </w:rPr>
        <w:t>En el almacenamiento líquido conviene ensayar alternativas que modifiquen el tiempo efectivo bajo condiciones anaerobias o que permitan contener y aprovechar el CH₄, de acuerdo con su viabilidad técnica y de seguridad. Los ensayos deben comparar cada alternativa con la operación actual mediante las variables principales definidas para CH₄ y mediante las pérdidas de N; el consumo energético, la frecuencia de vaciado y las exigencias operativas completan la evaluación de posibles transferencias de impacto.</w:t>
      </w:r>
    </w:p>
    <w:p>
      <w:pPr>
        <w:spacing w:line="240" w:lineRule="auto" w:before="0" w:after="0"/>
        <w:ind w:left="100" w:firstLine="719"/>
        <w:jc w:val="both"/>
      </w:pPr>
      <w:r>
        <w:rPr>
          <w:rFonts w:ascii="Times New Roman" w:hAnsi="Times New Roman"/>
          <w:sz w:val="24"/>
        </w:rPr>
        <w:t>En la aplicación al campo conviene evaluar un plan basado en la concentración medida de N, la demanda del suelo y del pasto, la calibración del caudal y las condiciones meteorológicas y de humedad del suelo. Los ensayos en parcelas deben comparar la práctica actual con aplicaciones que eviten suelos saturados y periodos con alta probabilidad de lluvia intensa, utilizando como respuestas principales NH₃ y NO₃⁻ y, como respuestas complementarias, el N residual del suelo y la producción o absorción de N del pasto. Esta línea se sustenta en que A4 aportó 70,6 % de la eutrofización marina del Escenario A, mientras B2 aportó 93,1 % de la eutrofización marina y 62,9 % de la eutrofización terrestre del Escenario B.</w:t>
      </w:r>
    </w:p>
    <w:p>
      <w:pPr>
        <w:spacing w:line="240" w:lineRule="auto" w:before="0" w:after="0"/>
        <w:ind w:left="100" w:firstLine="719"/>
        <w:jc w:val="both"/>
      </w:pPr>
      <w:r>
        <w:rPr>
          <w:rFonts w:ascii="Times New Roman" w:hAnsi="Times New Roman"/>
          <w:sz w:val="24"/>
        </w:rPr>
        <w:t>En A1 conviene evaluar de forma controlada el tiempo de precomposteo, la humedad, la aireación y el volteo. La comparación debe priorizar las pérdidas de NH₃ y el balance de N, y complementar estas respuestas con N₂O, aptitud del sustrato para las lombrices y calidad del producto final. A1 concentró 47,4 % de la eutrofización terrestre del Escenario A; por ello, la selección de una condición operativa requiere evidencia experimental local.</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reúne las fuentes citadas para sustentar el contexto, la metodología y la interpretación de los resultados.</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Andreasi Bassi, S., Biganzoli, F., Ferrara, N., Amadei, A., Valente, A., Sala, S., &amp; Ardente, F. (2023). Updated characterisation and normalisation factors for the Environmental Footprint 3.1 method (EUR 31414 EN; JRC130796). Publications Office of the European Union. https://doi.org/10.2760/798894</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Factores de emisión de gases de efecto invernadero (16.ª ed.; los encabezados de las pp. 2–10 identifican 15.ª ed.,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(ILRI Manual 36).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26(5), 485–495. https://doi.org/10.1016/j.biombioe.2003.08.008</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46(3–4), 225–247. https://doi.org/10.18174/njas.v46i3.481</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75, 499–502.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Correspondencia entre objetivos, resultados y conclusiones provisionales</w:t>
      </w:r>
    </w:p>
    <w:p>
      <w:pPr>
        <w:spacing w:line="240" w:lineRule="auto" w:before="0" w:after="0"/>
        <w:ind w:left="100" w:firstLine="719"/>
        <w:jc w:val="both"/>
      </w:pPr>
      <w:r>
        <w:rPr>
          <w:rFonts w:ascii="Times New Roman" w:hAnsi="Times New Roman"/>
          <w:sz w:val="24"/>
        </w:rPr>
        <w:t>La Tabla 17 muestra cómo la metodología, los resultados y las conclusiones provisionales responden a los objetivos invariantes del estudio.</w:t>
      </w:r>
    </w:p>
    <w:p>
      <w:pPr>
        <w:pStyle w:val="Rótuloacadémico"/>
        <w:keepNext/>
        <w:keepLines/>
      </w:pPr>
      <w:r>
        <w:rPr>
          <w:rFonts w:ascii="Times New Roman" w:hAnsi="Times New Roman"/>
          <w:b/>
          <w:color w:val="000000"/>
        </w:rPr>
        <w:t>Tabla 17</w:t>
      </w:r>
    </w:p>
    <w:p>
      <w:pPr>
        <w:pStyle w:val="Descripciónacadémica"/>
        <w:keepNext/>
        <w:keepLines/>
      </w:pPr>
      <w:r>
        <w:rPr>
          <w:rFonts w:ascii="Times New Roman" w:hAnsi="Times New Roman"/>
          <w:i/>
          <w:color w:val="000000"/>
        </w:rPr>
        <w:t>Correspondencia entre objetivos, resultados y conclusiones provisionales.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emisiones y contraste provisional del nitrógeno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1 y 6</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sectPr>
          <w:headerReference w:type="default" r:id="rId9"/>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B. Matriz detallada de procedencia de los datos del inventario</w:t>
      </w:r>
    </w:p>
    <w:p>
      <w:pPr>
        <w:spacing w:line="240" w:lineRule="auto" w:before="0" w:after="0"/>
        <w:ind w:left="100" w:firstLine="719"/>
        <w:jc w:val="both"/>
      </w:pPr>
      <w:r>
        <w:rPr>
          <w:rFonts w:ascii="Times New Roman" w:hAnsi="Times New Roman"/>
          <w:sz w:val="24"/>
        </w:rPr>
        <w:t>La Tabla 18 conserva la trazabilidad detallada por familia sin convertir los cálculos derivados en una nueva categoría de fuente.</w:t>
      </w:r>
    </w:p>
    <w:p>
      <w:pPr>
        <w:pStyle w:val="Rótuloacadémico"/>
        <w:keepNext/>
        <w:keepLines/>
      </w:pPr>
      <w:r>
        <w:rPr>
          <w:rFonts w:ascii="Times New Roman" w:hAnsi="Times New Roman"/>
          <w:b/>
          <w:color w:val="000000"/>
        </w:rPr>
        <w:t>Tabla 18</w:t>
      </w:r>
    </w:p>
    <w:p>
      <w:pPr>
        <w:pStyle w:val="Descripciónacadémica"/>
        <w:keepNext/>
        <w:keepLines/>
      </w:pPr>
      <w:r>
        <w:rPr>
          <w:rFonts w:ascii="Times New Roman" w:hAnsi="Times New Roman"/>
          <w:i/>
          <w:color w:val="000000"/>
        </w:rPr>
        <w:t>Matriz detallada de procedencia y tratamiento de los datos del inventario.</w:t>
      </w:r>
    </w:p>
    <w:tbl>
      <w:tblPr>
        <w:tblW w:type="auto" w:w="0"/>
        <w:jc w:val="center"/>
        <w:tblLayout w:type="fixed"/>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80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Variable o familia de variables</w:t>
            </w:r>
          </w:p>
        </w:tc>
        <w:tc>
          <w:tcPr>
            <w:tcW w:type="dxa" w:w="100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Etapa(s) donde se usa</w:t>
            </w:r>
          </w:p>
        </w:tc>
        <w:tc>
          <w:tcPr>
            <w:tcW w:type="dxa" w:w="136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Valor o tipo de información</w:t>
            </w:r>
          </w:p>
        </w:tc>
        <w:tc>
          <w:tcPr>
            <w:tcW w:type="dxa" w:w="122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Procedencia académica</w:t>
            </w:r>
          </w:p>
        </w:tc>
        <w:tc>
          <w:tcPr>
            <w:tcW w:type="dxa" w:w="144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Subtipo de procedencia</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Tratamiento dentro del TFG</w:t>
            </w:r>
          </w:p>
        </w:tc>
        <w:tc>
          <w:tcPr>
            <w:tcW w:type="dxa" w:w="20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Fuente concreta</w:t>
            </w:r>
          </w:p>
        </w:tc>
        <w:tc>
          <w:tcPr>
            <w:tcW w:type="dxa" w:w="252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Uso metodológico</w:t>
            </w:r>
          </w:p>
        </w:tc>
      </w:tr>
      <w:tr>
        <w:trPr>
          <w:cantSplit/>
        </w:trPr>
        <w:tc>
          <w:tcPr>
            <w:tcW w:type="dxa" w:w="180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Caracterización fisicoquímica de los materiales del estudio</w:t>
            </w:r>
          </w:p>
        </w:tc>
        <w:tc>
          <w:tcPr>
            <w:tcW w:type="dxa" w:w="100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8 variables integradas en 4 tipos de material; corrida M1–M2</w:t>
            </w:r>
          </w:p>
        </w:tc>
        <w:tc>
          <w:tcPr>
            <w:tcW w:type="dxa" w:w="122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Medición experimental del TFG y servicio analítico externo sobre sus muestras</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Medido; resumido por muestra y jornada; integrado estadísticamente cuando es compatible</w:t>
            </w:r>
          </w:p>
        </w:tc>
        <w:tc>
          <w:tcPr>
            <w:tcW w:type="dxa" w:w="201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Muestreo del investigador, Laboratorio de Bioenergía y reportes CIA/LASA de las muestras del TFG</w:t>
            </w:r>
          </w:p>
        </w:tc>
        <w:tc>
          <w:tcPr>
            <w:tcW w:type="dxa" w:w="252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Caracterización, parámetros experimentales y referencias de contraste del inventario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Tiempos y frecuencias habituales comunicados para la operación de la finca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5 parámetros operativos de campo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Comunicación presencial con informante clave basada en consulta al personal operativo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Comunicado como estimación operativa aproximada; anualizado de forma reproducible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Saúl Brenes Gamboa, administrador de la lechería; registro retrospectivo respaldado por la visita de campo del 25 de agosto de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Duración y frecuencia de bombeo, almacenamiento y aplicación</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Características nominales observadas en equipos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B1</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característica nominal de equipo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Observación directa de placa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Observado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de la bomba Aermotor 20HBP200-01</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del consumo eléctrico del bombeo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Parámetros operativos publicados de la misma lechería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6 parámetros publicados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Datos publicados previamente para el sitio de estudio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Publicado; usado directamente o anualizado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Población, permanencia, estiércol recolectado y agua de lavado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generación de estiércol durante la permanencia en sala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A3, B1</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supuesto basado en intervalo publicado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Literatura aplicada como base de un supuesto explícito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del estudio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Límite inferior del intervalo bibliográfico citado por Sánchez-Romero y Brenes-Gamboa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conservadora del estiércol depositado durante la permanencia en sala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Eficiencia de bomba, consumo de diésel y anualización operativa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2 supuestos explícitos con contexto de campo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 aplica: supuesto del estudio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numérico definido para el modelo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del estudio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Definición explícita del estudio; la nota de campo aporta contexto operativo, no el valor numérico supuesto</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Cálculo de consumos de electricidad y diésel</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Identidades temporales para prorrateo y anualización</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3 registros estructurados de convenciones temporales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 aplica: convención del estudio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Identidad temporal, no fuente empírica ni bibliográfica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cálculo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Definición temporal del modelo</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Prorrateo diario y expresión anual de los flujos</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Transformación de masa de estiércol fresco a precompostado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y A2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integrado de 2 jornadas elegibles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Derivación a partir de mediciones experimentales del TFG</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por jornada e integrado estadísticamente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cenizas determinadas en el Laboratorio de Bioenergía durante M1 y M2</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masa húmeda entre A1 y A2</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y procedimientos IPCC para manejo y suelos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16 parámetros activos o de aseguramiento y control de la calidad con fuente IPCC</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Guía metodológica oficial internacional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Refinamiento 2019 de las Directrices IPCC de 2006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 CH₄, N₂O y rutas hídricas de nitrógeno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EMEP/EEA de nitrógeno reactivo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10 parámetros activos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Guía metodológica oficial de inventarios de emisiones</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Air Pollutant Emission Inventory Guidebook 2023</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y pérdidas explícitas de TAN, NH₃, NO y N₂</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experimental de NH₃ utilizado como aproximación en A2</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factor activo de literatura científica</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Artículo científico utilizado como aproximación cuantitativa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 de literatura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Komakech et al. (2016)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 NH₃ en A2</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nacionales para recursos energéticos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4 factores aprobados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Documento técnico oficial nacional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de emisión o consumo agregado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Instituto Meteorológico Nacional, Factores de emisión de gases de efecto invernadero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asociadas con electricidad y combustión de diésel</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de caracterización de impacto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9 correspondencias flujo–categoría</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Método oficial de evaluación de impacto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de caracterización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Masas, volúmenes y consumos del inventario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6 flujos por etapa construidos reproduciblemente</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Procedencia heredada y separable de componentes primarios y secundarios; no constituye una tercera clase de fuente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o derivado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y registros primarios, junto con publicaciones y bases bibliográficas secundarias, conservados en sus familias de origen</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Datos de actividad del inventario por etapa; la futura matriz metodológica A1–B2 aportará trazabilidad más fina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propagados entre etapas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A1→A2, A3→A4 y B1→B2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Parámetros experimentales promovidos en 6 etapas y factores metodológicos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Procedencia heredada y separable de caracterización primaria y factores metodológicos secundarios; no constituye una tercera clase de fuente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y propagado entre etapas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Integración experimental M1–M2 (primaria) y factores IPCC, EMEP/EEA o de literatura (secundarios), conservados por componente</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Cierre secuencial de nitrógeno y estimación de emisiones; la futura matriz metodológica A1–B2 aportará trazabilidad más fina</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C. Matriz detallada de trazabilidad metodológica por etapa A1–B2</w:t>
      </w:r>
    </w:p>
    <w:p>
      <w:pPr>
        <w:spacing w:line="240" w:lineRule="auto" w:before="0" w:after="0"/>
        <w:ind w:left="100" w:firstLine="719"/>
        <w:jc w:val="both"/>
      </w:pPr>
      <w:r>
        <w:rPr>
          <w:rFonts w:ascii="Times New Roman" w:hAnsi="Times New Roman"/>
          <w:sz w:val="24"/>
        </w:rPr>
        <w:t>Las Tablas 19 y 20 presentan dos vistas complementarias de la misma matriz. La primera identifica el proceso, la variable y la relación de cálculo; la segunda enlaza cada ecuación con sus datos de actividad, factores, procedencia, fuente y uso posterior. La clave formada por escenario, etapa y ecuación permite leer ambas vistas de manera conjunta. Las relaciones corresponden al método aplicado en el estudio y no constituyen un modelo paralelo.</w:t>
      </w:r>
    </w:p>
    <w:p>
      <w:pPr>
        <w:pStyle w:val="Rótuloacadémico"/>
        <w:keepNext/>
        <w:keepLines/>
      </w:pPr>
      <w:r>
        <w:rPr>
          <w:rFonts w:ascii="Times New Roman" w:hAnsi="Times New Roman"/>
          <w:b/>
          <w:color w:val="000000"/>
        </w:rPr>
        <w:t>Tabla 19</w:t>
      </w:r>
    </w:p>
    <w:p>
      <w:pPr>
        <w:pStyle w:val="Descripciónacadémica"/>
        <w:keepNext/>
        <w:keepLines/>
      </w:pPr>
      <w:r>
        <w:rPr>
          <w:rFonts w:ascii="Times New Roman" w:hAnsi="Times New Roman"/>
          <w:i/>
          <w:color w:val="000000"/>
        </w:rPr>
        <w:t>Procesos, variables y relaciones de cálculo por etapa A1–B2.</w:t>
      </w:r>
    </w:p>
    <w:tbl>
      <w:tblPr>
        <w:tblW w:type="auto" w:w="0"/>
        <w:jc w:val="center"/>
        <w:tblLayout w:type="fixed"/>
        <w:tblLook w:firstColumn="1" w:firstRow="1" w:lastColumn="0" w:lastRow="0" w:noHBand="0" w:noVBand="1" w:val="04A0"/>
      </w:tblPr>
      <w:tblGrid>
        <w:gridCol w:w="1883"/>
        <w:gridCol w:w="1883"/>
        <w:gridCol w:w="1883"/>
        <w:gridCol w:w="1883"/>
        <w:gridCol w:w="1883"/>
        <w:gridCol w:w="1883"/>
        <w:gridCol w:w="1883"/>
      </w:tblGrid>
      <w:tr>
        <w:trPr>
          <w:cantSplit/>
          <w:tblHeader w:val="true"/>
        </w:trPr>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Escenario</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Etapa del sistema</w:t>
            </w:r>
          </w:p>
        </w:tc>
        <w:tc>
          <w:tcPr>
            <w:tcW w:type="dxa" w:w="144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Fase metodológica</w:t>
            </w:r>
          </w:p>
        </w:tc>
        <w:tc>
          <w:tcPr>
            <w:tcW w:type="dxa" w:w="216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Proceso o fenómeno modelado</w:t>
            </w:r>
          </w:p>
        </w:tc>
        <w:tc>
          <w:tcPr>
            <w:tcW w:type="dxa" w:w="20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Variable o flujo calculado</w:t>
            </w:r>
          </w:p>
        </w:tc>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Ecuación</w:t>
            </w:r>
          </w:p>
        </w:tc>
        <w:tc>
          <w:tcPr>
            <w:tcW w:type="dxa" w:w="396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Relación de cálculo</w:t>
            </w:r>
          </w:p>
        </w:tc>
      </w:tr>
      <w:tr>
        <w:trPr>
          <w:cantSplit/>
        </w:trPr>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Estiércol fresco recolectado</w:t>
            </w:r>
          </w:p>
        </w:tc>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M11</w:t>
            </w:r>
          </w:p>
        </w:tc>
        <w:tc>
          <w:tcPr>
            <w:tcW w:type="dxa" w:w="396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 A1 = m recolectado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de precompostado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A2 = m A1 × promedio(R j); R j = (d f,j × a f,j)/(d p,j × a p,j)</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remanente arrastrable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A3 = m depositado − m recolectado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equivalente total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eq,A4 = m remanente + V agua × 1 kg/L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total teóricamente depositado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B1 = m recolectado / f recolectada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equivalente total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eq,B2 = m depositado + V agua × 1 kg/L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interetapa de N total y TAN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total,entrada,A2 = N total,salida,A1; TAN entrada,A2 = TAN salida,A1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en lombricompostaje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N03K</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NH₃ = (m A2/1000) × 12,8/1000; N NH₃ = m NH₃ × 14/17</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Mineralización de N orgánico antes del almacenamiento líquido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mineralizado = (N total − TAN entrada) × f min; TAN disponible = TAN entrada + N mineralizado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Mineralización de N orgánico antes del almacenamiento líquido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mineralizado = (N total − TAN entrada) × f min; TAN disponible = TAN entrada + N mineralizado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de N estimada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perdido por la ruta hídrica modelada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N08</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water loss = N total,entrada × FracLeachMS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Ruta posterior de lixiviación o escorrentía en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NO₃⁻ y N₂O indirecto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N09</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water loss × FracLEACH; m NO₃⁻ = N lix × 62/14; 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desde el almacenamiento hacia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aplicados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aplicado,A4 = N salida,A3; TAN aplicado,A4 = TAN salida,A3</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NH₃,aplic = TAN aplicado × f NH₃,aplic;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NO2 = N aplicado × 0,04; N NOx = m NO2 × 14/46</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N₂O en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aplicado × EF1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Lixiviación o escorrentía desde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y NO₃⁻</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aplicado × FracLEACH; m NO₃⁻ = N lix × 62/14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lixiviación o escorrentía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lixiviación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desde el almacenamiento hacia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aplicados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aplicado,B2 = N salida,B1; TAN aplicado,B2 = TAN salida,B1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NH₃,aplic = TAN aplicado × f NH₃,aplic;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NO2 = N aplicado × 0,04; N NOx = m NO2 × 14/46</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N₂O en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aplicado × EF1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Lixiviación o escorrentía desde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y NO₃⁻</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aplicado × FracLEACH; m NO₃⁻ = N lix × 62/14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lixiviación o escorrentía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lixiviación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Bombeo del agua pluvial de lavado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Consumo eléctrico y contribución climática agregada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 = (P mec/η) × (365/d ciclo) × n lavados × (t lavado/60); CC elec = E × FE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Bombeo del agua pluvial de lavado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Consumo eléctrico y contribución climática agregada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 = (P mec/η) × (365/d ciclo) × n lavados × (t lavado/60); CC elec = E × FE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Combustión de diésel en tractor y cañón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Diésel; CO₂ fósil, CH₄ fósil y N₂O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 diesel = (365/d ciclo) × (t operación/60) × q diesel; m i = V diesel × FE IMN,i</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Combustión de diésel en tractor y cañón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Diésel; CO₂ fósil, CH₄ fósil y N₂O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 diesel = (365/d ciclo) × (t operación/60) × q diesel; m i = V diesel × FE IMN,i</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{CH₄, N₂O, NH₃, NOx, NO₃⁻}</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{CH₄, N₂O, NH₃, NOx}</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+ 1 (c=CC) × (E × FE IMN,elec)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{N₂O, NH₃, NOx, NO₃⁻, CO₂ fósil, CH₄ fósil, N₂O de combustión}; los tres flujos fósiles se obtienen primero con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+ 1 (c=CC) × (E × FE IMN,elec)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{N₂O, NH₃, NOx, NO₃⁻, CO₂ fósil, CH₄ fósil, N₂O de combustión}; los tres flujos fósiles se obtienen primero con IMN</w:t>
            </w:r>
          </w:p>
        </w:tc>
      </w:tr>
    </w:tbl>
    <w:p>
      <w:pPr>
        <w:pStyle w:val="Notadetabla"/>
      </w:pPr>
      <w:r>
        <w:rPr>
          <w:rFonts w:ascii="Times New Roman" w:hAnsi="Times New Roman"/>
          <w:b/>
        </w:rPr>
        <w:t xml:space="preserve">Nota. </w:t>
      </w:r>
      <w:r>
        <w:rPr>
          <w:rFonts w:ascii="Times New Roman" w:hAnsi="Times New Roman"/>
        </w:rPr>
        <w:t>La columna Ecuación contiene el identificador estable que vincula esta vista con la tabla siguiente; la división es exclusivamente editorial y conserva las 66 relaciones de la matriz canónica.</w:t>
      </w:r>
    </w:p>
    <w:p>
      <w:pPr>
        <w:pStyle w:val="Rótuloacadémico"/>
        <w:keepNext/>
        <w:keepLines/>
      </w:pPr>
      <w:r>
        <w:rPr>
          <w:rFonts w:ascii="Times New Roman" w:hAnsi="Times New Roman"/>
          <w:b/>
          <w:color w:val="000000"/>
        </w:rPr>
        <w:t>Tabla 20</w:t>
      </w:r>
    </w:p>
    <w:p>
      <w:pPr>
        <w:pStyle w:val="Descripciónacadémica"/>
        <w:keepNext/>
        <w:keepLines/>
      </w:pPr>
      <w:r>
        <w:rPr>
          <w:rFonts w:ascii="Times New Roman" w:hAnsi="Times New Roman"/>
          <w:i/>
          <w:color w:val="000000"/>
        </w:rPr>
        <w:t>Datos, factores, fuentes y uso posterior por etapa A1–B2.</w:t>
      </w:r>
    </w:p>
    <w:tbl>
      <w:tblPr>
        <w:tblW w:type="auto" w:w="0"/>
        <w:jc w:val="center"/>
        <w:tblLayout w:type="fixed"/>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Escenario</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Etapa del sistema</w:t>
            </w:r>
          </w:p>
        </w:tc>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Ecuación</w:t>
            </w:r>
          </w:p>
        </w:tc>
        <w:tc>
          <w:tcPr>
            <w:tcW w:type="dxa" w:w="172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Dato de actividad</w:t>
            </w:r>
          </w:p>
        </w:tc>
        <w:tc>
          <w:tcPr>
            <w:tcW w:type="dxa" w:w="172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Parámetro o factor</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Procedencia del dato o factor</w:t>
            </w:r>
          </w:p>
        </w:tc>
        <w:tc>
          <w:tcPr>
            <w:tcW w:type="dxa" w:w="208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Fuente metodológica</w:t>
            </w:r>
          </w:p>
        </w:tc>
        <w:tc>
          <w:tcPr>
            <w:tcW w:type="dxa" w:w="244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Salida o uso posterior</w:t>
            </w:r>
          </w:p>
        </w:tc>
      </w:tr>
      <w:tr>
        <w:trPr>
          <w:cantSplit/>
        </w:trPr>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M11</w:t>
            </w:r>
          </w:p>
        </w:tc>
        <w:tc>
          <w:tcPr>
            <w:tcW w:type="dxa" w:w="172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Masa recolectada publicada para la misma lechería</w:t>
            </w:r>
          </w:p>
        </w:tc>
        <w:tc>
          <w:tcPr>
            <w:tcW w:type="dxa" w:w="172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No aplica; uso directo del dato publicado</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Secundaria; dato publicado del sitio</w:t>
            </w:r>
          </w:p>
        </w:tc>
        <w:tc>
          <w:tcPr>
            <w:tcW w:type="dxa" w:w="208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Dato de actividad del inventario y masa de entrada a la transformación A1→A2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A1 publicada y factor experimental integrado a partir de materia seca y cenizas de M1–M2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Razón de transformación húmeda A1→A2 calculada primero por jornada y promediada con igual peso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factor de transformación primario y masa A1 secundaria;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Mediciones gravimétricas del TFG para el factor; Sánchez-Romero y Brenes-Gamboa (2026) para la masa A1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que ingresa a A2 y dato de actividad del inventario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recolectada publicada y masa depositada derivada del supuesto bibliográfico vigente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recolectada derivada de datos publicados y supuesto con base bibliográfica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datos publicados y supuesto con base bibliográfica;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de A3 usada para N, sólidos volátiles y CH₄; excluye agua de lavado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remanente calculado y agua de lavado publicada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equivalencia 1 kg/L para representar la mezcla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componentes derivados de datos publicados y supuesto bibliográfico; No aplica: convención del estudio para 1 kg/L;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 convención explícita de equivalencia de la mezcla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Representación de mezcla/dilución; no constituye nueva masa de N ni base de las ecuaciones de emisiones del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recolectada publicada y fracción recolectada derivada del supuesto bibliográfico vigente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recolectada derivada de datos publicados y supuesto con base bibliográfica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datos publicados y supuesto con base bibliográfica;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de B1 usada para N, sólidos volátiles y CH₄; excluye agua de lavado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total depositado calculado y agua de lavado publicada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equivalencia 1 kg/L para representar la mezcla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componentes derivados de datos publicados y supuesto bibliográfico; No aplica: convención del estudio para 1 kg/L;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 convención explícita de equivalencia de la mezcla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Representación de mezcla/dilución; no constituye nueva masa de N ni base de las ecuaciones de emisiones del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sólido;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del sistema de manejo asignado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propagados desde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intermedia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N03K</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que ingresa a A2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12,8 g NH₃/Mg de residuo orgánico húmedo; cálculo independiente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Komakech et al. (2016)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 no reinicializa N/TAN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del sistema de manejo asignado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min = 0,10</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ecuación 32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Reserva de TAN sobre la que se estiman NH₃, NO y N₂</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 0 del sistema líquido vigente; produce cero en el modelo, sin afirmar imposibilidad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 igual a cero en el modelo vigente; no implica ausencia física universal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min = 0,10</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ecuación 32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Reserva de TAN sobre la que se estiman NH₃, NO y N₂</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 0 del sistema líquido vigente; produce cero en el modelo, sin afirmar imposibilidad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 igual a cero en el modelo vigente; no implica ausencia física universal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N08</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en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FracLeachMS = 0,04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modelada que, por la frontera metodológica aprobada, se trata después como entrada a la ruta de suelo; no produce directamente NO₃⁻</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N09</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A1 tratada como entrada al suelo según la frontera aprobada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 conversión 62/14; 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y N₂O a aire para caracterización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Salida de N total y TAN de A3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líquida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secuencial vigente de N total y TAN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de las rutas de aplicación al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0,55 kg NH₃-N/kg TAN</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0,04 kg NO₂/kg N aplicado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3.D, tabla 3-1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EF1 = 0,006</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aplicación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para eutrofización marina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o escurrido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Salida de N total y TAN de B1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líquida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secuencial vigente de N total y TAN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de las rutas de aplicación al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0,55 kg NH₃-N/kg TAN</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0,04 kg NO₂/kg N aplicado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3.D, tabla 3-1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EF1 = 0,006</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aplicación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para eutrofización marina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o escurrido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Potencia de placa y operación observada/comunicada; eficiencia supuesta;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η = 0,80 como supuesto del estudio; factor agregado IMN de consumo eléctrico 2025</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placa, tiempos y frecuencias; No aplica: supuesto del estudio para η = 0,80; Secundaria: factor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y 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Contribución agregada de cambio climático; no es una emisión elemental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Potencia de placa y operación observada/comunicada; eficiencia supuesta;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η = 0,80 como supuesto del estudio; factor agregado IMN de consumo eléctrico 2025</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placa, tiempos y frecuencias; No aplica: supuesto del estudio para η = 0,80; Secundaria: factor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y 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Contribución agregada de cambio climático; no es una emisión elemental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Frecuencia y duración operativa comunicadas; consumo de 3 L/h supuesto;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q diesel = 3 L/h como supuesto del estudio; factores físicos IMN para CO₂, CH₄ y N₂O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frecuencia y duración comunicadas; No aplica: supuesto del estudio para 3 L/h; Secundaria: factores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Flujos elementales fósiles para caracterización climática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Frecuencia y duración operativa comunicadas; consumo de 3 L/h supuesto;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q diesel = 3 L/h como supuesto del estudio; factores físicos IMN para CO₂, CH₄ y N₂O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frecuencia y duración comunicadas; No aplica: supuesto del estudio para 3 L/h; Secundaria: factores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Flujos elementales fósiles para caracterización climática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NOx y NO₃⁻ generadas en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EF 3.1 por identidad, compartimento y categoría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 de A1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generadas en A2; sin recursos operativos</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EF 3.1 por identidad, compartimento y categoría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 de A2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de A3; electricidad anual como actividad separada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 3.1 para emisiones elementales; factor eléctrico agregado IMN aplicado directamente a cambio climático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e IMN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 IMN (2026) para electricidad agregada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A3; electricidad sumada directamente a cambio climático, fuera de Σ(m i × CF i,c)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suelo y emisiones físicas de CO₂ fósil, CH₄ fósil y N₂O de combustión del diésel</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físicos IMN para obtener emisiones del diésel; factores EF 3.1 para caracterizarlas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factores físicos IMN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IMN (2026) para emisiones físicas del diésel; Environmental Footprint 3.1 para caracterización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A4; ruta del diésel IMN → emisiones físicas →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de B1; electricidad anual como actividad separada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 3.1 para emisiones elementales; factor eléctrico agregado IMN aplicado directamente a cambio climático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e IMN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 IMN (2026) para electricidad agregada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B1; electricidad sumada directamente a cambio climático, fuera de Σ(m i × CF i,c)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suelo y emisiones físicas de CO₂ fósil, CH₄ fósil y N₂O de combustión del diésel</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físicos IMN para obtener emisiones del diésel; factores EF 3.1 para caracterizarlas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factores físicos IMN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IMN (2026) para emisiones físicas del diésel; Environmental Footprint 3.1 para caracterización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B2; ruta del diésel IMN → emisiones físicas → EF 3.1</w:t>
            </w:r>
          </w:p>
        </w:tc>
      </w:tr>
    </w:tbl>
    <w:p>
      <w:pPr>
        <w:pStyle w:val="Notadetabla"/>
      </w:pPr>
      <w:r>
        <w:rPr>
          <w:rFonts w:ascii="Times New Roman" w:hAnsi="Times New Roman"/>
          <w:b/>
        </w:rPr>
        <w:t xml:space="preserve">Nota. </w:t>
      </w:r>
      <w:r>
        <w:rPr>
          <w:rFonts w:ascii="Times New Roman" w:hAnsi="Times New Roman"/>
        </w:rPr>
        <w:t>Cada fila corresponde a la misma combinación de escenario, etapa y ecuación presentada en la tabla anterior; no se han agregado, eliminado ni recalculado relaciones metodológicas.</w:t>
      </w:r>
    </w:p>
    <w:p>
      <w:pPr>
        <w:spacing w:line="240" w:lineRule="auto" w:before="0" w:after="0"/>
        <w:ind w:left="100" w:firstLine="719"/>
        <w:jc w:val="both"/>
        <w:sectPr>
          <w:pgSz w:w="15840" w:h="12240" w:orient="landscape"/>
          <w:pgMar w:top="1500" w:right="1320" w:bottom="280" w:left="1340" w:header="720" w:footer="720" w:gutter="0"/>
          <w:cols w:space="720"/>
          <w:docGrid w:linePitch="360"/>
        </w:sectPr>
      </w:pPr>
    </w:p>
    <w:p>
      <w:pPr>
        <w:pStyle w:val="Heading1"/>
      </w:pPr>
      <w:r>
        <w:rPr>
          <w:rFonts w:ascii="Times New Roman" w:hAnsi="Times New Roman"/>
          <w:color w:val="000000"/>
        </w:rPr>
        <w:t>Apéndice D. Trazabilidad experimental de las campañas M1–M2</w:t>
      </w:r>
    </w:p>
    <w:p>
      <w:pPr>
        <w:spacing w:line="240" w:lineRule="auto" w:before="0" w:after="0"/>
        <w:ind w:left="100" w:firstLine="719"/>
        <w:jc w:val="both"/>
      </w:pPr>
      <w:r>
        <w:rPr>
          <w:rFonts w:ascii="Times New Roman" w:hAnsi="Times New Roman"/>
          <w:sz w:val="24"/>
        </w:rPr>
        <w:t>La Tabla 21 documenta el diseño físico ejecutado en M1 y M2, la relación entre muestras compartidas o independientes y la condición de uso de cada determinación. La tabla resume la evidencia necesaria para reproducir el diseño sin reemplazar los registros analíticos primarios.</w:t>
      </w:r>
    </w:p>
    <w:p>
      <w:pPr>
        <w:pStyle w:val="Rótuloacadémico"/>
        <w:keepNext/>
        <w:keepLines/>
      </w:pPr>
      <w:r>
        <w:rPr>
          <w:rFonts w:ascii="Times New Roman" w:hAnsi="Times New Roman"/>
          <w:b/>
          <w:color w:val="000000"/>
        </w:rPr>
        <w:t>Tabla 21</w:t>
      </w:r>
    </w:p>
    <w:p>
      <w:pPr>
        <w:pStyle w:val="Descripciónacadémica"/>
        <w:keepNext/>
        <w:keepLines/>
      </w:pPr>
      <w:r>
        <w:rPr>
          <w:rFonts w:ascii="Times New Roman" w:hAnsi="Times New Roman"/>
          <w:i/>
          <w:color w:val="000000"/>
        </w:rPr>
        <w:t>Diseño de muestreo y distribución analítica de las campañas M1–M2.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Campaña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Identificación temporal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Muestras compuestas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Determinación y laboratorio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Relación física y condición de uso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Muestreo: 10 de noviembre de 2025; recepción LASA: 11 de noviembre</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 dos para el Laboratorio de Bioenergía y dos independientes para LASA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el Laboratorio de Bioenergía y dos independientes para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17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LASA: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LASA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CIA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27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bl>
    <w:p>
      <w:pPr>
        <w:spacing w:line="240" w:lineRule="auto" w:before="0" w:after="0"/>
        <w:ind w:left="100" w:firstLine="719"/>
        <w:jc w:val="both"/>
      </w:pPr>
      <w:r>
        <w:rPr>
          <w:rFonts w:ascii="Times New Roman" w:hAnsi="Times New Roman"/>
          <w:sz w:val="24"/>
        </w:rPr>
        <w:t>La Tabla 22 reúne los resultados experimentales intermedios necesarios para seguir la construcción de los parámetros del modelo. Los valores corresponden a la integración provisional M1–M2 y se presentan redondeados solo para lectura; los cálculos conservan la precisión interna de sus fuentes.</w:t>
      </w:r>
    </w:p>
    <w:p>
      <w:pPr>
        <w:pStyle w:val="Rótuloacadémico"/>
        <w:keepNext/>
        <w:keepLines/>
      </w:pPr>
      <w:r>
        <w:rPr>
          <w:rFonts w:ascii="Times New Roman" w:hAnsi="Times New Roman"/>
          <w:b/>
          <w:color w:val="000000"/>
        </w:rPr>
        <w:t>Tabla 22</w:t>
      </w:r>
    </w:p>
    <w:p>
      <w:pPr>
        <w:pStyle w:val="Descripciónacadémica"/>
        <w:keepNext/>
        <w:keepLines/>
      </w:pPr>
      <w:r>
        <w:rPr>
          <w:rFonts w:ascii="Times New Roman" w:hAnsi="Times New Roman"/>
          <w:i/>
          <w:color w:val="000000"/>
        </w:rPr>
        <w:t>Resultados experimentales esenciales y función en el modelo.</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 o derivación</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Variable</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Campañas elegibles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Resultado provisional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Base o unidad</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Función en el modelo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0,52 ± 0,21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Inicialización productiva de N total y TAN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13,60 ± 0,89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y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15,3 ± 1,6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 ± 1,6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 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en material acondicionado a 80 °C durante 48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experimental de A2; no reinicializa N total ni TAN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20,7 ± 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transformación A1→A2 y conversión autorizada de la referencia de 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 5,7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 ± 5,7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A3 ni A4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B1 ni B2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36,31 ± 0,79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estiércol fresco a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masa húmeda remanente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calculada primero por campaña y luego integrada con igual peso temporal</w:t>
            </w:r>
          </w:p>
        </w:tc>
      </w:tr>
    </w:tbl>
    <w:p>
      <w:pPr>
        <w:pStyle w:val="Notadetabla"/>
      </w:pPr>
      <w:r>
        <w:rPr>
          <w:rFonts w:ascii="Times New Roman" w:hAnsi="Times New Roman"/>
          <w:b/>
        </w:rPr>
        <w:t xml:space="preserve">Nota. </w:t>
      </w:r>
      <w:r>
        <w:rPr>
          <w:rFonts w:ascii="Times New Roman" w:hAnsi="Times New Roman"/>
        </w:rPr>
        <w:t>Cuando se dispone de dos campañas comparables, el resultado se presenta como media ± desviación estándar entre campañas; esta dispersión descriptiva no constituye una incertidumbre expandida. Los resultados líquidos procedentes solo de M2 conservan cuatro decimales para evitar que valores físicamente distintos de cero desaparezcan por redondeo.</w:t>
      </w:r>
    </w:p>
    <w:p>
      <w:pPr>
        <w:spacing w:line="240" w:lineRule="auto" w:before="0" w:after="0"/>
        <w:ind w:left="100" w:firstLine="719"/>
        <w:jc w:val="both"/>
        <w:sectPr>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E. Balances intermedios y emisiones desagregadas</w:t>
      </w:r>
    </w:p>
    <w:p>
      <w:pPr>
        <w:spacing w:line="240" w:lineRule="auto" w:before="0" w:after="0"/>
        <w:ind w:left="100" w:firstLine="719"/>
        <w:jc w:val="both"/>
      </w:pPr>
      <w:r>
        <w:rPr>
          <w:rFonts w:ascii="Times New Roman" w:hAnsi="Times New Roman"/>
          <w:sz w:val="24"/>
        </w:rPr>
        <w:t>Las tres vistas de este apéndice se leen de manera secuencial y cumplen funciones distintas: primero se presenta la propagación contable en base N, después se detallan las pérdidas físicas también en base N y, por último, se muestran las emisiones expresadas como las especies moleculares utilizadas por el inventario.</w:t>
      </w:r>
    </w:p>
    <w:p>
      <w:pPr>
        <w:spacing w:line="240" w:lineRule="auto" w:before="0" w:after="0"/>
        <w:ind w:left="100" w:firstLine="719"/>
        <w:jc w:val="both"/>
      </w:pPr>
      <w:r>
        <w:rPr>
          <w:rFonts w:ascii="Times New Roman" w:hAnsi="Times New Roman"/>
          <w:sz w:val="24"/>
        </w:rPr>
        <w:t>La Tabla 23 permite seguir la propagación del N total y del TAN entre las etapas conectadas. En A4 y B2, la columna de transferencia presenta el N retornado al suelo según EMEP; el N residual después de las pérdidas directas se conserva por separado y no lo sustituye.</w:t>
      </w:r>
    </w:p>
    <w:p>
      <w:pPr>
        <w:pStyle w:val="Rótuloacadémico"/>
        <w:keepNext/>
        <w:keepLines/>
      </w:pPr>
      <w:r>
        <w:rPr>
          <w:rFonts w:ascii="Times New Roman" w:hAnsi="Times New Roman"/>
          <w:b/>
          <w:color w:val="000000"/>
        </w:rPr>
        <w:t>Tabla 23</w:t>
      </w:r>
    </w:p>
    <w:p>
      <w:pPr>
        <w:pStyle w:val="Descripciónacadémica"/>
        <w:keepNext/>
        <w:keepLines/>
      </w:pPr>
      <w:r>
        <w:rPr>
          <w:rFonts w:ascii="Times New Roman" w:hAnsi="Times New Roman"/>
          <w:i/>
          <w:color w:val="000000"/>
        </w:rPr>
        <w:t>Propagación anual de N total y TAN por etapa.</w:t>
      </w:r>
    </w:p>
    <w:tbl>
      <w:tblPr>
        <w:tblW w:type="auto" w:w="0"/>
        <w:jc w:val="center"/>
        <w:tblLook w:firstColumn="1" w:firstRow="1" w:lastColumn="0" w:lastRow="0" w:noHBand="0" w:noVBand="1" w:val="04A0"/>
      </w:tblPr>
      <w:tblGrid>
        <w:gridCol w:w="2197"/>
        <w:gridCol w:w="2197"/>
        <w:gridCol w:w="2197"/>
        <w:gridCol w:w="2197"/>
        <w:gridCol w:w="2197"/>
        <w:gridCol w:w="2197"/>
      </w:tblGrid>
      <w:tr>
        <w:trPr>
          <w:cantSplit/>
          <w:tblHeader w:val="true"/>
        </w:trPr>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total de entrada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TAN de entrada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transferido o retornado según EMEP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residual del suelo después de pérdidas directas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TAN de salida (kg N/año)</w:t>
            </w:r>
          </w:p>
        </w:tc>
      </w:tr>
      <w:tr>
        <w:trPr>
          <w:cantSplit/>
        </w:trPr>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90,79</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54,47</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52,39</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20,16</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52,39</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13,83</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45,35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27,21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21,68</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26,08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16,27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9,755</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81,68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65,08</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78,29</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29,28</w:t>
            </w:r>
          </w:p>
        </w:tc>
      </w:tr>
    </w:tbl>
    <w:p>
      <w:pPr>
        <w:spacing w:line="240" w:lineRule="auto" w:before="0" w:after="0"/>
        <w:ind w:left="100" w:firstLine="719"/>
        <w:jc w:val="both"/>
      </w:pPr>
      <w:r>
        <w:rPr>
          <w:rFonts w:ascii="Times New Roman" w:hAnsi="Times New Roman"/>
          <w:sz w:val="24"/>
        </w:rPr>
        <w:t>La Tabla 24 expresa sobre una base común de N las pérdidas directas que permiten conciliar el N de entrada con la transferencia o el remanente de cada etapa. El N₂ se conserva en el balance físico, aunque no recibe caracterización en las categorías evaluadas.</w:t>
      </w:r>
    </w:p>
    <w:p>
      <w:pPr>
        <w:pStyle w:val="Rótuloacadémico"/>
        <w:keepNext/>
        <w:keepLines/>
      </w:pPr>
      <w:r>
        <w:rPr>
          <w:rFonts w:ascii="Times New Roman" w:hAnsi="Times New Roman"/>
          <w:b/>
          <w:color w:val="000000"/>
        </w:rPr>
        <w:t>Tabla 24</w:t>
      </w:r>
    </w:p>
    <w:p>
      <w:pPr>
        <w:pStyle w:val="Descripciónacadémica"/>
        <w:keepNext/>
        <w:keepLines/>
      </w:pPr>
      <w:r>
        <w:rPr>
          <w:rFonts w:ascii="Times New Roman" w:hAnsi="Times New Roman"/>
          <w:i/>
          <w:color w:val="000000"/>
        </w:rPr>
        <w:t>Pérdidas físicas anuales de N por etapa.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Base de TAN para las pérdidas</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NH₃-N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NOx-N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N₂-N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N₂O-N directo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perdido en agua durante el manejo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por lixiviación o escorrentía (kg N/año)</w:t>
            </w:r>
          </w:p>
        </w:tc>
      </w:tr>
      <w:tr>
        <w:trPr>
          <w:cantSplit/>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17,43</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0,5447</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16,34</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0,4539</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3,632</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0,8716</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0,07832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0,2016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7,256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0,002902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0,08707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11,92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0,4626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9,121</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21,78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35,79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0,6845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27,38</w:t>
            </w:r>
          </w:p>
        </w:tc>
      </w:tr>
    </w:tbl>
    <w:p>
      <w:pPr>
        <w:spacing w:line="240" w:lineRule="auto" w:before="0" w:after="0"/>
        <w:ind w:left="100" w:firstLine="719"/>
        <w:jc w:val="both"/>
      </w:pPr>
      <w:r>
        <w:rPr>
          <w:rFonts w:ascii="Times New Roman" w:hAnsi="Times New Roman"/>
          <w:sz w:val="24"/>
        </w:rPr>
        <w:t>La Tabla 25 desagrega las emisiones que explican los impactos por etapa. Los valores proceden de la tabla canónica de emisiones; la vista no añade rutas ni recalcula factores.</w:t>
      </w:r>
    </w:p>
    <w:p>
      <w:pPr>
        <w:pStyle w:val="Rótuloacadémico"/>
        <w:keepNext/>
        <w:keepLines/>
      </w:pPr>
      <w:r>
        <w:rPr>
          <w:rFonts w:ascii="Times New Roman" w:hAnsi="Times New Roman"/>
          <w:b/>
          <w:color w:val="000000"/>
        </w:rPr>
        <w:t>Tabla 25</w:t>
      </w:r>
    </w:p>
    <w:p>
      <w:pPr>
        <w:pStyle w:val="Descripciónacadémica"/>
        <w:keepNext/>
        <w:keepLines/>
      </w:pPr>
      <w:r>
        <w:rPr>
          <w:rFonts w:ascii="Times New Roman" w:hAnsi="Times New Roman"/>
          <w:i/>
          <w:color w:val="000000"/>
        </w:rPr>
        <w:t>Emisiones anuales desagregadas por etapa y ruta.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CH₄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directo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indirecto por volatilización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indirecto por lixiviación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NH₃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NOx como NO₂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NO₃⁻ (kg/año)</w:t>
            </w:r>
          </w:p>
        </w:tc>
      </w:tr>
      <w:tr>
        <w:trPr>
          <w:cantSplit/>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8,117</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0,7133</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0,3955</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0,01507</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21,17</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1,79</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3,86</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0,006157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0,009536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121,3</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F. Trazabilidad de la verificación independiente Python–SimaPro</w:t>
      </w:r>
    </w:p>
    <w:p>
      <w:pPr>
        <w:spacing w:line="240" w:lineRule="auto" w:before="0" w:after="0"/>
        <w:ind w:left="100" w:firstLine="719"/>
        <w:jc w:val="both"/>
      </w:pPr>
      <w:r>
        <w:rPr>
          <w:rFonts w:ascii="Times New Roman" w:hAnsi="Times New Roman"/>
          <w:sz w:val="24"/>
        </w:rPr>
        <w:t>La Tabla 26 resume las nueve combinaciones activas inspeccionadas y distingue los resultados unitarios de la inspección directa de factores. La evidencia gráfica completa de la sesión se conserva separadamente como respaldo del aseguramiento de la calidad y no se reproduce en el manuscrito.</w:t>
      </w:r>
    </w:p>
    <w:p>
      <w:pPr>
        <w:pStyle w:val="Rótuloacadémico"/>
        <w:keepNext/>
        <w:keepLines/>
      </w:pPr>
      <w:r>
        <w:rPr>
          <w:rFonts w:ascii="Times New Roman" w:hAnsi="Times New Roman"/>
          <w:b/>
          <w:color w:val="000000"/>
        </w:rPr>
        <w:t>Tabla 26</w:t>
      </w:r>
    </w:p>
    <w:p>
      <w:pPr>
        <w:pStyle w:val="Descripciónacadémica"/>
        <w:keepNext/>
        <w:keepLines/>
      </w:pPr>
      <w:r>
        <w:rPr>
          <w:rFonts w:ascii="Times New Roman" w:hAnsi="Times New Roman"/>
          <w:i/>
          <w:color w:val="000000"/>
        </w:rPr>
        <w:t>Factores y resultados unitarios de la verificación EF 3.1.</w:t>
      </w:r>
    </w:p>
    <w:tbl>
      <w:tblPr>
        <w:tblW w:type="auto" w:w="0"/>
        <w:jc w:val="center"/>
        <w:tblLayout w:type="fixed"/>
        <w:tblLook w:firstColumn="1" w:firstRow="1" w:lastColumn="0" w:lastRow="0" w:noHBand="0" w:noVBand="1" w:val="04A0"/>
      </w:tblPr>
      <w:tblGrid>
        <w:gridCol w:w="1883"/>
        <w:gridCol w:w="1883"/>
        <w:gridCol w:w="1883"/>
        <w:gridCol w:w="1883"/>
        <w:gridCol w:w="1883"/>
        <w:gridCol w:w="1883"/>
        <w:gridCol w:w="1883"/>
      </w:tblGrid>
      <w:tr>
        <w:trPr>
          <w:cantSplit/>
          <w:tblHeader w:val="true"/>
        </w:trPr>
        <w:tc>
          <w:tcPr>
            <w:tcW w:type="dxa" w:w="108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Flujo</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Compartimento y subcompartimento</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Categoría</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Factor Python</w:t>
            </w:r>
          </w:p>
        </w:tc>
        <w:tc>
          <w:tcPr>
            <w:tcW w:type="dxa" w:w="302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Observación en SimaPro</w:t>
            </w:r>
          </w:p>
        </w:tc>
        <w:tc>
          <w:tcPr>
            <w:tcW w:type="dxa" w:w="122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Clasificación</w:t>
            </w:r>
          </w:p>
        </w:tc>
        <w:tc>
          <w:tcPr>
            <w:tcW w:type="dxa" w:w="237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Explicación</w:t>
            </w:r>
          </w:p>
        </w:tc>
      </w:tr>
      <w:tr>
        <w:trPr>
          <w:cantSplit/>
        </w:trPr>
        <w:tc>
          <w:tcPr>
            <w:tcW w:type="dxa" w:w="108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CH₄ biogénico</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27,0 kg CO₂-eq/kg CH₄</w:t>
            </w:r>
          </w:p>
        </w:tc>
        <w:tc>
          <w:tcPr>
            <w:tcW w:type="dxa" w:w="302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27 kg CO₂-eq/kg CH₄; resultado: 27 kg CO₂-eq</w:t>
            </w:r>
          </w:p>
        </w:tc>
        <w:tc>
          <w:tcPr>
            <w:tcW w:type="dxa" w:w="122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N₂O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273,0 kg CO₂-eq/kg N₂O</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273 kg CO₂-eq/kg N₂O; resultado: 273 kg CO₂-eq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NH₃</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terrestre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13,47 mol N-eq/kg NH₃</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13,47 mol N-eq/kg NH₃; resultado: 13,5 mol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B</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Redondeo visible del resultado; el factor observado fue 13,47.</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NH₃</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marina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0,092 kg N-eq/kg NH₃</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0,092 kg N-eq/kg NH₃; resultado: 0,092 kg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NOx como NO₂</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terrestre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4,26 mol N-eq/kg NOx como NO₂</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4,26 mol N-eq/kg NOx como NO₂; resultado: 4,26 mol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NOx como NO₂</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marina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0,389 kg N-eq/kg NOx como NO₂</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0,389 kg N-eq/kg NOx como NO₂; resultado: 0,389 kg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NO₃⁻</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Agua; agua dulce</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marina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0,226 kg N-eq/kg NO₃⁻</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0,226 kg N-eq/kg NO₃⁻; resultado: 0,226 kg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CO₂ fósil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1,0 kg CO₂-eq/kg CO₂</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 kg CO₂-eq/kg CO₂; sin resultado unitario independiente</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 para el factor</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Factor inspeccionado directamente; no se ejecutó un proceso unitario.</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CH₄ fósil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29,8 kg CO₂-eq/kg CH₄</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29,8 kg CO₂-eq/kg CH₄; sin resultado unitario independiente</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 para el factor</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Factor inspeccionado directamente; no se ejecutó un proceso unitario.</w:t>
            </w:r>
          </w:p>
        </w:tc>
      </w:tr>
    </w:tbl>
    <w:p>
      <w:pPr>
        <w:pStyle w:val="Notadetabla"/>
      </w:pPr>
      <w:r>
        <w:rPr>
          <w:rFonts w:ascii="Times New Roman" w:hAnsi="Times New Roman"/>
          <w:b/>
        </w:rPr>
        <w:t xml:space="preserve">Nota. </w:t>
      </w:r>
      <w:r>
        <w:rPr>
          <w:rFonts w:ascii="Times New Roman" w:hAnsi="Times New Roman"/>
        </w:rPr>
        <w:t>La clasificación A indica concordancia exacta o dentro de la precisión mostrada; B indica una diferencia explicable por precisión o redondeo. En CO₂ fósil y CH₄ fósil la clasificación se limita al factor inspeccionado porque no se ejecutó un proceso unitario independiente.</w:t>
      </w:r>
    </w:p>
    <w:sectPr w:rsidR="00FC693F" w:rsidRPr="0006063C" w:rsidSect="00034616">
      <w:pgSz w:w="15840" w:h="12240" w:orient="landscape"/>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 w:type="paragraph" w:customStyle="1" w:styleId="Notadetabla">
    <w:name w:val="Nota de tabla"/>
    <w:pPr>
      <w:spacing w:before="60" w:after="120" w:line="240" w:lineRule="auto"/>
      <w:ind w:firstLine="0" w:left="0"/>
    </w:pPr>
    <w:rPr>
      <w:rFonts w:ascii="Times New Roman" w:hAnsi="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