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Resultados desarrollados del Análisis de Ciclo de Vida</w:t>
      </w:r>
    </w:p>
    <w:p>
      <w:pPr>
        <w:spacing w:line="240" w:lineRule="auto" w:before="0" w:after="0"/>
        <w:ind w:left="100" w:firstLine="719"/>
        <w:jc w:val="both"/>
      </w:pPr>
      <w:r>
        <w:rPr>
          <w:rFonts w:ascii="Times New Roman" w:hAnsi="Times New Roman"/>
          <w:b/>
          <w:sz w:val="24"/>
        </w:rPr>
        <w:t>PROVISIONAL M1–M2</w:t>
      </w:r>
    </w:p>
    <w:p>
      <w:pPr>
        <w:spacing w:line="240" w:lineRule="auto" w:before="0" w:after="0"/>
        <w:ind w:left="100" w:firstLine="719"/>
        <w:jc w:val="both"/>
      </w:pPr>
      <w:r>
        <w:rPr>
          <w:rFonts w:ascii="Times New Roman" w:hAnsi="Times New Roman"/>
          <w:sz w:val="24"/>
        </w:rPr>
        <w:t>Esta versión incorpora las jornadas disponibles M1 y M2. Para los sólidos se utiliza la integración provisional M1–M2; para el N total de aguas verdes y purines se utiliza exclusivamente M2 mediante Kjeldahl. La caracterización final se actualizará al incorporar M3.</w:t>
      </w:r>
    </w:p>
    <w:p>
      <w:pPr>
        <w:pStyle w:val="Heading2"/>
      </w:pPr>
      <w:r>
        <w:rPr>
          <w:rFonts w:ascii="Times New Roman" w:hAnsi="Times New Roman"/>
          <w:color w:val="000000"/>
        </w:rPr>
        <w:t>1. Caracterización de las muestras analizadas</w:t>
      </w:r>
    </w:p>
    <w:p>
      <w:pPr>
        <w:spacing w:line="240" w:lineRule="auto" w:before="0" w:after="0"/>
        <w:ind w:left="100" w:firstLine="719"/>
        <w:jc w:val="both"/>
      </w:pPr>
      <w:r>
        <w:rPr>
          <w:rFonts w:ascii="Times New Roman" w:hAnsi="Times New Roman"/>
          <w:sz w:val="24"/>
        </w:rPr>
        <w:t>La caracterización de las muestras analizadas permitió establecer los parámetros fisicoquímicos usados como entradas del inventario de ciclo de vida. El estiércol fresco presentó un contenido promedio de agua de 86,4 % y una materia seca de 13,6 %. El estiércol precompostado presentó un contenido promedio de agua de 79,33 % y una materia seca de 20,67 %.</w:t>
      </w:r>
    </w:p>
    <w:p>
      <w:pPr>
        <w:spacing w:line="240" w:lineRule="auto" w:before="0" w:after="0"/>
        <w:ind w:left="100" w:firstLine="719"/>
        <w:jc w:val="both"/>
      </w:pPr>
      <w:r>
        <w:rPr>
          <w:rFonts w:ascii="Times New Roman" w:hAnsi="Times New Roman"/>
          <w:sz w:val="24"/>
        </w:rPr>
        <w:t>La fracción de sólidos volátiles fue mayor en el estiércol fresco, con 84,71 % en base seca, frente a 75,02 %. Las cenizas fueron mayores en el material precompostado. El nitrógeno total fue de 0,518 % para estiércol fresco y de 2,504 % para estiércol precompostado.</w:t>
      </w:r>
    </w:p>
    <w:p>
      <w:pPr>
        <w:spacing w:line="240" w:lineRule="auto" w:before="0" w:after="0"/>
        <w:ind w:left="100" w:firstLine="719"/>
        <w:jc w:val="both"/>
      </w:pPr>
      <w:r>
        <w:rPr>
          <w:rFonts w:ascii="Times New Roman" w:hAnsi="Times New Roman"/>
          <w:sz w:val="24"/>
        </w:rPr>
        <w:t>La Tabla 1 resume los valores de caracterización de las muestras. La Figura 1 presenta humedad y materia seca, mientras que la Figura 2 presenta sólidos volátiles y cenizas.</w:t>
      </w:r>
    </w:p>
    <w:p>
      <w:pPr>
        <w:spacing w:line="240" w:lineRule="auto" w:before="0" w:after="0"/>
        <w:ind w:left="100" w:firstLine="719"/>
        <w:jc w:val="both"/>
      </w:pPr>
      <w:r>
        <w:rPr>
          <w:rFonts w:ascii="Times New Roman" w:hAnsi="Times New Roman"/>
          <w:sz w:val="24"/>
        </w:rPr>
        <w:t>La Tabla R1 del bloque de apéndices internos, Caracterización completa de muestras, presenta la desagregación de los resultados fisicoquímicos utilizados en esta sección.</w:t>
      </w:r>
    </w:p>
    <w:p>
      <w:pPr>
        <w:spacing w:line="240" w:lineRule="auto" w:before="0" w:after="0"/>
        <w:ind w:left="100" w:firstLine="719"/>
        <w:jc w:val="both"/>
      </w:pPr>
      <w:r>
        <w:rPr>
          <w:rFonts w:ascii="Times New Roman" w:hAnsi="Times New Roman"/>
          <w:sz w:val="24"/>
        </w:rPr>
        <w:t>Los valores presentados corresponden a la integración provisional M1–M2 para sólidos y al N total Kjeldahl de M2 para aguas verdes y purines. La jornada M3 se incorporará posteriormente para actualizar la caracterización final.</w:t>
      </w:r>
    </w:p>
    <w:p>
      <w:pPr>
        <w:pStyle w:val="Rótuloacadémico"/>
      </w:pPr>
      <w:r>
        <w:rPr>
          <w:rFonts w:ascii="Times New Roman" w:hAnsi="Times New Roman"/>
          <w:b/>
          <w:color w:val="000000"/>
        </w:rPr>
        <w:t>Tabla 1</w:t>
      </w:r>
    </w:p>
    <w:p>
      <w:pPr>
        <w:pStyle w:val="Descripciónacadémica"/>
      </w:pPr>
      <w:r>
        <w:rPr>
          <w:rFonts w:ascii="Times New Roman" w:hAnsi="Times New Roman"/>
          <w:i/>
          <w:color w:val="000000"/>
        </w:rPr>
        <w:t>Caracterización resumida de las muestras.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muestra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 total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Humedad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Materia seca (%)</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Cenizas (% base seca)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Sólidos volátiles (% base seca)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86,4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15,287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79,332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24,976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bl>
    <w:p>
      <w:pPr>
        <w:pStyle w:val="Rótuloacadémico"/>
      </w:pPr>
      <w:r>
        <w:rPr>
          <w:rFonts w:ascii="Times New Roman" w:hAnsi="Times New Roman"/>
          <w:b/>
          <w:color w:val="000000"/>
        </w:rPr>
        <w:t>Figura 1</w:t>
      </w:r>
    </w:p>
    <w:p>
      <w:pPr>
        <w:pStyle w:val="Descripciónacadémica"/>
      </w:pPr>
      <w:r>
        <w:rPr>
          <w:rFonts w:ascii="Times New Roman" w:hAnsi="Times New Roman"/>
          <w:i/>
          <w:color w:val="000000"/>
        </w:rPr>
        <w:t>Humedad y materia seca promedio por tipo de muestra.</w:t>
      </w:r>
    </w:p>
    <w:p>
      <w:pPr>
        <w:ind w:left="0" w:firstLine="0"/>
        <w:jc w:val="center"/>
      </w:pPr>
      <w:r>
        <w:drawing>
          <wp:inline xmlns:a="http://schemas.openxmlformats.org/drawingml/2006/main" xmlns:pic="http://schemas.openxmlformats.org/drawingml/2006/picture">
            <wp:extent cx="5669280" cy="3962194"/>
            <wp:docPr id="1" name="Picture 1"/>
            <wp:cNvGraphicFramePr>
              <a:graphicFrameLocks noChangeAspect="1"/>
            </wp:cNvGraphicFramePr>
            <a:graphic>
              <a:graphicData uri="http://schemas.openxmlformats.org/drawingml/2006/picture">
                <pic:pic>
                  <pic:nvPicPr>
                    <pic:cNvPr id="0" name="fig_01_caracterizacion_humedad_materia_seca.png"/>
                    <pic:cNvPicPr/>
                  </pic:nvPicPr>
                  <pic:blipFill>
                    <a:blip r:embed="rId10"/>
                    <a:stretch>
                      <a:fillRect/>
                    </a:stretch>
                  </pic:blipFill>
                  <pic:spPr>
                    <a:xfrm>
                      <a:off x="0" y="0"/>
                      <a:ext cx="5669280" cy="3962194"/>
                    </a:xfrm>
                    <a:prstGeom prst="rect"/>
                  </pic:spPr>
                </pic:pic>
              </a:graphicData>
            </a:graphic>
          </wp:inline>
        </w:drawing>
      </w:r>
    </w:p>
    <w:p>
      <w:pPr>
        <w:pStyle w:val="Rótuloacadémico"/>
      </w:pPr>
      <w:r>
        <w:rPr>
          <w:rFonts w:ascii="Times New Roman" w:hAnsi="Times New Roman"/>
          <w:b/>
          <w:color w:val="000000"/>
        </w:rPr>
        <w:t>Figura 2</w:t>
      </w:r>
    </w:p>
    <w:p>
      <w:pPr>
        <w:pStyle w:val="Descripciónacadémica"/>
      </w:pPr>
      <w:r>
        <w:rPr>
          <w:rFonts w:ascii="Times New Roman" w:hAnsi="Times New Roman"/>
          <w:i/>
          <w:color w:val="000000"/>
        </w:rPr>
        <w:t>Sólidos volátiles y cenizas por tipo de muestra.</w:t>
      </w:r>
    </w:p>
    <w:p>
      <w:pPr>
        <w:ind w:left="0" w:firstLine="0"/>
        <w:jc w:val="center"/>
      </w:pPr>
      <w:r>
        <w:drawing>
          <wp:inline xmlns:a="http://schemas.openxmlformats.org/drawingml/2006/main" xmlns:pic="http://schemas.openxmlformats.org/drawingml/2006/picture">
            <wp:extent cx="5669280" cy="3962194"/>
            <wp:docPr id="2" name="Picture 2"/>
            <wp:cNvGraphicFramePr>
              <a:graphicFrameLocks noChangeAspect="1"/>
            </wp:cNvGraphicFramePr>
            <a:graphic>
              <a:graphicData uri="http://schemas.openxmlformats.org/drawingml/2006/picture">
                <pic:pic>
                  <pic:nvPicPr>
                    <pic:cNvPr id="0" name="fig_02_caracterizacion_solidos_volatiles_cenizas.png"/>
                    <pic:cNvPicPr/>
                  </pic:nvPicPr>
                  <pic:blipFill>
                    <a:blip r:embed="rId11"/>
                    <a:stretch>
                      <a:fillRect/>
                    </a:stretch>
                  </pic:blipFill>
                  <pic:spPr>
                    <a:xfrm>
                      <a:off x="0" y="0"/>
                      <a:ext cx="5669280" cy="3962194"/>
                    </a:xfrm>
                    <a:prstGeom prst="rect"/>
                  </pic:spPr>
                </pic:pic>
              </a:graphicData>
            </a:graphic>
          </wp:inline>
        </w:drawing>
      </w:r>
    </w:p>
    <w:p>
      <w:pPr>
        <w:pStyle w:val="Heading2"/>
      </w:pPr>
      <w:r>
        <w:rPr>
          <w:rFonts w:ascii="Times New Roman" w:hAnsi="Times New Roman"/>
          <w:color w:val="000000"/>
        </w:rPr>
        <w:t>2. Flujos del inventario de ciclo de vida</w:t>
      </w:r>
    </w:p>
    <w:p>
      <w:pPr>
        <w:spacing w:line="240" w:lineRule="auto" w:before="0" w:after="0"/>
        <w:ind w:left="100" w:firstLine="719"/>
        <w:jc w:val="both"/>
      </w:pPr>
      <w:r>
        <w:rPr>
          <w:rFonts w:ascii="Times New Roman" w:hAnsi="Times New Roman"/>
          <w:sz w:val="24"/>
        </w:rPr>
        <w:t>Estos valores se presentan como flujos anuales estimados del inventario, manteniendo como referencia metodológica la unidad funcional de 1 kg de estiércol fresco manejado. El flujo anual común expresa la escala operacional del inventario y no redefine la unidad funcional.</w:t>
      </w:r>
    </w:p>
    <w:p>
      <w:pPr>
        <w:spacing w:line="240" w:lineRule="auto" w:before="0" w:after="0"/>
        <w:ind w:left="100" w:firstLine="719"/>
        <w:jc w:val="both"/>
      </w:pPr>
      <w:r>
        <w:rPr>
          <w:rFonts w:ascii="Times New Roman" w:hAnsi="Times New Roman"/>
          <w:sz w:val="24"/>
        </w:rPr>
        <w:t>Los flujos del inventario se expresaron como masa equivalente total por año para cada etapa. B2: Aplicación de purines en campo de pastoreo presentó la mayor masa equivalente total, con 276 851,23 kg eq/año.</w:t>
      </w:r>
    </w:p>
    <w:p>
      <w:pPr>
        <w:spacing w:line="240" w:lineRule="auto" w:before="0" w:after="0"/>
        <w:ind w:left="100" w:firstLine="719"/>
        <w:jc w:val="both"/>
      </w:pPr>
      <w:r>
        <w:rPr>
          <w:rFonts w:ascii="Times New Roman" w:hAnsi="Times New Roman"/>
          <w:sz w:val="24"/>
        </w:rPr>
        <w:t>A1: Precomposteo recibió 17 525,1 kg/año de estiércol fresco recolectado. La entrada húmeda de A2: Lombricompostaje se estimó en 7 429,97 kg/año mediante una razón de masa derivada de materia seca y cenizas por jornada, bajo el supuesto de conservación de estas últimas. Esa entrada no fue pesada como salida de A1. La diferencia entre ambas masas húmedas no permite cuantificar evaporación ni pérdidas de sólidos: se dispuso de humedades de muestras, pero no de los flujos de agua y sólidos necesarios para cerrar ambos balances.</w:t>
      </w:r>
    </w:p>
    <w:p>
      <w:pPr>
        <w:spacing w:line="240" w:lineRule="auto" w:before="0" w:after="0"/>
        <w:ind w:left="100" w:firstLine="719"/>
        <w:jc w:val="both"/>
      </w:pPr>
      <w:r>
        <w:rPr>
          <w:rFonts w:ascii="Times New Roman" w:hAnsi="Times New Roman"/>
          <w:sz w:val="24"/>
        </w:rPr>
        <w:t>El N total y el nitrógeno amoniacal total de A2 se propagaron desde A1 según las pérdidas de N modeladas. La masa húmeda estimada no se utilizó para descontar N de forma adicional; el N analítico del precompostado permanece como contraste experimental independiente.</w:t>
      </w:r>
    </w:p>
    <w:p>
      <w:pPr>
        <w:spacing w:line="240" w:lineRule="auto" w:before="0" w:after="0"/>
        <w:ind w:left="100" w:firstLine="719"/>
        <w:jc w:val="both"/>
      </w:pPr>
      <w:r>
        <w:rPr>
          <w:rFonts w:ascii="Times New Roman" w:hAnsi="Times New Roman"/>
          <w:sz w:val="24"/>
        </w:rPr>
        <w:t>La masa equivalente de A4 integra el agua de lavado y 8 753,6 kg/año de estiércol remanente derivados del balance en sala. La masa equivalente de B2 integra agua de lavado y 26 278,7 kg/año de estiércol fresco teóricamente depositado.</w:t>
      </w:r>
    </w:p>
    <w:p>
      <w:pPr>
        <w:spacing w:line="240" w:lineRule="auto" w:before="0" w:after="0"/>
        <w:ind w:left="100" w:firstLine="719"/>
        <w:jc w:val="both"/>
      </w:pPr>
      <w:r>
        <w:rPr>
          <w:rFonts w:ascii="Times New Roman" w:hAnsi="Times New Roman"/>
          <w:sz w:val="24"/>
        </w:rPr>
        <w:t>En contraste, para estimar las emisiones de manejo en A3: Almacenamiento de aguas verdes y B1: Almacenamiento de purines se utilizó la masa de estiércol correspondiente, sin sumar el agua de lavado como masa de actividad. El flujo total de agua y estiércol se incorporó en las etapas subsecuentes de aplicación A4 y B2.</w:t>
      </w:r>
    </w:p>
    <w:p>
      <w:pPr>
        <w:spacing w:line="240" w:lineRule="auto" w:before="0" w:after="0"/>
        <w:ind w:left="100" w:firstLine="719"/>
        <w:jc w:val="both"/>
      </w:pPr>
      <w:r>
        <w:rPr>
          <w:rFonts w:ascii="Times New Roman" w:hAnsi="Times New Roman"/>
          <w:sz w:val="24"/>
        </w:rPr>
        <w:t>A2: Lombricompostaje presentó la menor masa equivalente. La Tabla 2 presenta la masa equivalente total por etapa y la Figura 3 resume su distribución por escenario.</w:t>
      </w:r>
    </w:p>
    <w:p>
      <w:pPr>
        <w:spacing w:line="240" w:lineRule="auto" w:before="0" w:after="0"/>
        <w:ind w:left="100" w:firstLine="719"/>
        <w:jc w:val="both"/>
      </w:pPr>
      <w:r>
        <w:rPr>
          <w:rFonts w:ascii="Times New Roman" w:hAnsi="Times New Roman"/>
          <w:sz w:val="24"/>
        </w:rPr>
        <w:t>La Tabla R2 del bloque de apéndices internos, Flujos completos del inventario, contiene la desagregación de los flujos empleados para construir el ICV.</w:t>
      </w:r>
    </w:p>
    <w:p>
      <w:pPr>
        <w:pStyle w:val="Rótuloacadémico"/>
      </w:pPr>
      <w:r>
        <w:rPr>
          <w:rFonts w:ascii="Times New Roman" w:hAnsi="Times New Roman"/>
          <w:b/>
          <w:color w:val="000000"/>
        </w:rPr>
        <w:t>Tabla 2</w:t>
      </w:r>
    </w:p>
    <w:p>
      <w:pPr>
        <w:pStyle w:val="Descripciónacadémica"/>
      </w:pPr>
      <w:r>
        <w:rPr>
          <w:rFonts w:ascii="Times New Roman" w:hAnsi="Times New Roman"/>
          <w:i/>
          <w:color w:val="000000"/>
        </w:rPr>
        <w:t>Masa equivalente total por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3193"/>
        <w:gridCol w:w="3193"/>
        <w:gridCol w:w="3193"/>
      </w:tblGrid>
      <w:tr>
        <w:trPr>
          <w:cantSplit/>
          <w:tblHeader w:val="true"/>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Masa equivalente total (kg eq/año)</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7 429,97</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8 753,63</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259 326,13</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26 278,73</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276 851,23</w:t>
            </w:r>
          </w:p>
        </w:tc>
      </w:tr>
    </w:tbl>
    <w:p>
      <w:pPr>
        <w:pStyle w:val="Rótuloacadémico"/>
      </w:pPr>
      <w:r>
        <w:rPr>
          <w:rFonts w:ascii="Times New Roman" w:hAnsi="Times New Roman"/>
          <w:b/>
          <w:color w:val="000000"/>
        </w:rPr>
        <w:t>Figura 3</w:t>
      </w:r>
    </w:p>
    <w:p>
      <w:pPr>
        <w:pStyle w:val="Descripciónacadémica"/>
      </w:pPr>
      <w:r>
        <w:rPr>
          <w:rFonts w:ascii="Times New Roman" w:hAnsi="Times New Roman"/>
          <w:i/>
          <w:color w:val="000000"/>
        </w:rPr>
        <w:t>Masa equivalente total por etapa y escenario.</w:t>
      </w:r>
    </w:p>
    <w:p>
      <w:pPr>
        <w:ind w:left="0" w:firstLine="0"/>
        <w:jc w:val="center"/>
      </w:pPr>
      <w:r>
        <w:drawing>
          <wp:inline xmlns:a="http://schemas.openxmlformats.org/drawingml/2006/main" xmlns:pic="http://schemas.openxmlformats.org/drawingml/2006/picture">
            <wp:extent cx="5669280" cy="3039424"/>
            <wp:docPr id="3" name="Picture 3"/>
            <wp:cNvGraphicFramePr>
              <a:graphicFrameLocks noChangeAspect="1"/>
            </wp:cNvGraphicFramePr>
            <a:graphic>
              <a:graphicData uri="http://schemas.openxmlformats.org/drawingml/2006/picture">
                <pic:pic>
                  <pic:nvPicPr>
                    <pic:cNvPr id="0" name="fig_04_flujos_masa_equivalente_total.png"/>
                    <pic:cNvPicPr/>
                  </pic:nvPicPr>
                  <pic:blipFill>
                    <a:blip r:embed="rId12"/>
                    <a:stretch>
                      <a:fillRect/>
                    </a:stretch>
                  </pic:blipFill>
                  <pic:spPr>
                    <a:xfrm>
                      <a:off x="0" y="0"/>
                      <a:ext cx="5669280" cy="3039424"/>
                    </a:xfrm>
                    <a:prstGeom prst="rect"/>
                  </pic:spPr>
                </pic:pic>
              </a:graphicData>
            </a:graphic>
          </wp:inline>
        </w:drawing>
      </w:r>
    </w:p>
    <w:p>
      <w:pPr>
        <w:pStyle w:val="Heading2"/>
      </w:pPr>
      <w:r>
        <w:rPr>
          <w:rFonts w:ascii="Times New Roman" w:hAnsi="Times New Roman"/>
          <w:color w:val="000000"/>
        </w:rPr>
        <w:t>3. Parámetros utilizados en el modelo ACV</w:t>
      </w:r>
    </w:p>
    <w:p>
      <w:pPr>
        <w:spacing w:line="240" w:lineRule="auto" w:before="0" w:after="0"/>
        <w:ind w:left="100" w:firstLine="719"/>
        <w:jc w:val="both"/>
      </w:pPr>
      <w:r>
        <w:rPr>
          <w:rFonts w:ascii="Times New Roman" w:hAnsi="Times New Roman"/>
          <w:sz w:val="24"/>
        </w:rPr>
        <w:t>Los parámetros se organizaron por escenario y etapa. La tabla distingue entre el nitrógeno total reportado en porcentaje y su expresión como fracción másica. Para A2, la fracción del precompostado sobre masa húmeda incorpora la materia seca gravimétrica y constituye una referencia experimental; no reinicializa el balance productivo, cuyo N total y nitrógeno amoniacal total proceden de la salida de A1.</w:t>
      </w:r>
    </w:p>
    <w:p>
      <w:pPr>
        <w:spacing w:line="240" w:lineRule="auto" w:before="0" w:after="0"/>
        <w:ind w:left="100" w:firstLine="719"/>
        <w:jc w:val="both"/>
      </w:pPr>
      <w:r>
        <w:rPr>
          <w:rFonts w:ascii="Times New Roman" w:hAnsi="Times New Roman"/>
          <w:sz w:val="24"/>
        </w:rPr>
        <w:t>A2: Lombricompostaje se calculó mediante una arquitectura híbrida explícita y trazable. IPCC y la categoría Composting – Passive Windrow cubrieron CH₄ y N₂O directo; la fracción de lixiviación se estableció en cero como parámetro específico de las condiciones operativas modeladas, sin alterar el valor genérico de la categoría. La Tabla 3 resume los parámetros principales.</w:t>
      </w:r>
    </w:p>
    <w:p>
      <w:pPr>
        <w:spacing w:line="240" w:lineRule="auto" w:before="0" w:after="0"/>
        <w:ind w:left="100" w:firstLine="719"/>
        <w:jc w:val="both"/>
      </w:pPr>
      <w:r>
        <w:rPr>
          <w:rFonts w:ascii="Times New Roman" w:hAnsi="Times New Roman"/>
          <w:sz w:val="24"/>
        </w:rPr>
        <w:t>La fracción IPCC de volatilización se conservó solo como referencia de contraste y no generó una segunda emisión. El NH₃ se estimó una sola vez con la aproximación experimental aprobada de Komakech et al. (2016), aplicada a la masa húmeda inferida de entrada; NO y N₂ emplearon aproximaciones EMEP/EEA de almacenamiento sólido aprobadas provisionalmente. Estas elecciones son decisiones metodológicas vigentes, aunque conservan incertidumbres de transferibilidad y representatividad, especialmente para el factor de N₂.</w:t>
      </w:r>
    </w:p>
    <w:p>
      <w:pPr>
        <w:spacing w:line="240" w:lineRule="auto" w:before="0" w:after="0"/>
        <w:ind w:left="100" w:firstLine="719"/>
        <w:jc w:val="both"/>
      </w:pPr>
      <w:r>
        <w:rPr>
          <w:rFonts w:ascii="Times New Roman" w:hAnsi="Times New Roman"/>
          <w:sz w:val="24"/>
        </w:rPr>
        <w:t>La Tabla R3 del bloque de apéndices internos, Parámetros completos del modelo ACV, amplía los parámetros por escenario y etapa; la Tabla R4, Factores completos de emisión y caracterización, documenta los factores asociados.</w:t>
      </w:r>
    </w:p>
    <w:p>
      <w:pPr>
        <w:pStyle w:val="Rótuloacadémico"/>
      </w:pPr>
      <w:r>
        <w:rPr>
          <w:rFonts w:ascii="Times New Roman" w:hAnsi="Times New Roman"/>
          <w:b/>
          <w:color w:val="000000"/>
        </w:rPr>
        <w:t>Tabla 3</w:t>
      </w:r>
    </w:p>
    <w:p>
      <w:pPr>
        <w:pStyle w:val="Descripciónacadémica"/>
      </w:pPr>
      <w:r>
        <w:rPr>
          <w:rFonts w:ascii="Times New Roman" w:hAnsi="Times New Roman"/>
          <w:i/>
          <w:color w:val="000000"/>
        </w:rPr>
        <w:t>Parámetros principales por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064"/>
        <w:gridCol w:w="1064"/>
        <w:gridCol w:w="1064"/>
        <w:gridCol w:w="1064"/>
        <w:gridCol w:w="1064"/>
        <w:gridCol w:w="1064"/>
        <w:gridCol w:w="1064"/>
        <w:gridCol w:w="1064"/>
        <w:gridCol w:w="1064"/>
      </w:tblGrid>
      <w:tr>
        <w:trPr>
          <w:cantSplit/>
          <w:tblHeader w:val="true"/>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Modelo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Marco de cálculo de la etapa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EF3</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MCF</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Masa equivalente (kg eq/año)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Fracción másica de N</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 total reportado (%)</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9,256 × 10⁻⁵</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r>
      <w:tr>
        <w:trPr>
          <w:cantSplit/>
        </w:trPr>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1064"/>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r>
    </w:tbl>
    <w:p>
      <w:pPr>
        <w:pStyle w:val="Heading2"/>
      </w:pPr>
      <w:r>
        <w:rPr>
          <w:rFonts w:ascii="Times New Roman" w:hAnsi="Times New Roman"/>
          <w:color w:val="000000"/>
        </w:rPr>
        <w:t>4. Emisiones estimadas por etapa y escenario</w:t>
      </w:r>
    </w:p>
    <w:p>
      <w:pPr>
        <w:spacing w:line="240" w:lineRule="auto" w:before="0" w:after="0"/>
        <w:ind w:left="100" w:firstLine="719"/>
        <w:jc w:val="both"/>
      </w:pPr>
      <w:r>
        <w:rPr>
          <w:rFonts w:ascii="Times New Roman" w:hAnsi="Times New Roman"/>
          <w:sz w:val="24"/>
        </w:rPr>
        <w:t>Las emisiones consolidadas muestran diferencias entre escenarios y sustancias. El Escenario A presentó 74,37 kg CH₄/año, 2,49 kg N₂O/año, 44,55 kg NH₃/año, 44,25 kg NO₃⁻/año y 0 kg CO₂/año. El Escenario B presentó 185 kg CH₄/año, 2,85 kg N₂O/año, 69,91 kg NH₃/año, 121,26 kg NO₃⁻/año y 0 kg CO₂/año.</w:t>
      </w:r>
    </w:p>
    <w:p>
      <w:pPr>
        <w:spacing w:line="240" w:lineRule="auto" w:before="0" w:after="0"/>
        <w:ind w:left="100" w:firstLine="719"/>
        <w:jc w:val="both"/>
      </w:pPr>
      <w:r>
        <w:rPr>
          <w:rFonts w:ascii="Times New Roman" w:hAnsi="Times New Roman"/>
          <w:sz w:val="24"/>
        </w:rPr>
        <w:t>B1: Almacenamiento de purines presentó la mayor contribución de CH₄. B2: Aplicación de purines en campo de pastoreo presentó la mayor emisión de N₂O. A2: Lombricompostaje fue estimada mediante la arquitectura híbrida IPCC–EMEP–Komakech vigente. La Tabla 4 resume las emisiones anuales por escenario y sustancia, y la Figura 4 presenta las emisiones de CH₄ por etapa.</w:t>
      </w:r>
    </w:p>
    <w:p>
      <w:pPr>
        <w:spacing w:line="240" w:lineRule="auto" w:before="0" w:after="0"/>
        <w:ind w:left="100" w:firstLine="719"/>
        <w:jc w:val="both"/>
      </w:pPr>
      <w:r>
        <w:rPr>
          <w:rFonts w:ascii="Times New Roman" w:hAnsi="Times New Roman"/>
          <w:sz w:val="24"/>
        </w:rPr>
        <w:t>La Tabla R5 del bloque de apéndices internos, Emisiones completas por etapa, presenta la desagregación por sustancia, escenario y etapa e identifica por separado CO₂ fósil, CH₄ fósil y N₂O de combustión del diésel. La Tabla 4 y las figuras de emisiones conservan exclusivamente las emisiones del manejo del estiércol. Además, el Apéndice R9, Figuras complementarias, reúne las representaciones gráficas que respaldan la interpretación de la caracterización, los flujos, las emisiones y la comparación de escenarios.</w:t>
      </w:r>
    </w:p>
    <w:p>
      <w:pPr>
        <w:pStyle w:val="Rótuloacadémico"/>
      </w:pPr>
      <w:r>
        <w:rPr>
          <w:rFonts w:ascii="Times New Roman" w:hAnsi="Times New Roman"/>
          <w:b/>
          <w:color w:val="000000"/>
        </w:rPr>
        <w:t>Tabla 4</w:t>
      </w:r>
    </w:p>
    <w:p>
      <w:pPr>
        <w:pStyle w:val="Descripciónacadémica"/>
      </w:pPr>
      <w:r>
        <w:rPr>
          <w:rFonts w:ascii="Times New Roman" w:hAnsi="Times New Roman"/>
          <w:i/>
          <w:color w:val="000000"/>
        </w:rPr>
        <w:t>Emisiones anuales por escenario y sustancia.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CH₄ (kg/año)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N₂O (kg/año)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NH₃ (kg/año)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NO₃⁻ (kg/año)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CO₂ (kg/año)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74,37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44,55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44,25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69,91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r>
    </w:tbl>
    <w:p>
      <w:pPr>
        <w:pStyle w:val="Rótuloacadémico"/>
      </w:pPr>
      <w:r>
        <w:rPr>
          <w:rFonts w:ascii="Times New Roman" w:hAnsi="Times New Roman"/>
          <w:b/>
          <w:color w:val="000000"/>
        </w:rPr>
        <w:t>Figura 4</w:t>
      </w:r>
    </w:p>
    <w:p>
      <w:pPr>
        <w:pStyle w:val="Descripciónacadémica"/>
      </w:pPr>
      <w:r>
        <w:rPr>
          <w:rFonts w:ascii="Times New Roman" w:hAnsi="Times New Roman"/>
          <w:i/>
          <w:color w:val="000000"/>
        </w:rPr>
        <w:t>Emisiones anuales de CH₄ por etapa y escenario.</w:t>
      </w:r>
    </w:p>
    <w:p>
      <w:pPr>
        <w:ind w:left="0" w:firstLine="0"/>
        <w:jc w:val="center"/>
      </w:pPr>
      <w:r>
        <w:drawing>
          <wp:inline xmlns:a="http://schemas.openxmlformats.org/drawingml/2006/main" xmlns:pic="http://schemas.openxmlformats.org/drawingml/2006/picture">
            <wp:extent cx="5669280" cy="3949325"/>
            <wp:docPr id="4" name="Picture 4"/>
            <wp:cNvGraphicFramePr>
              <a:graphicFrameLocks noChangeAspect="1"/>
            </wp:cNvGraphicFramePr>
            <a:graphic>
              <a:graphicData uri="http://schemas.openxmlformats.org/drawingml/2006/picture">
                <pic:pic>
                  <pic:nvPicPr>
                    <pic:cNvPr id="0" name="fig_06_emisiones_ch4.png"/>
                    <pic:cNvPicPr/>
                  </pic:nvPicPr>
                  <pic:blipFill>
                    <a:blip r:embed="rId13"/>
                    <a:stretch>
                      <a:fillRect/>
                    </a:stretch>
                  </pic:blipFill>
                  <pic:spPr>
                    <a:xfrm>
                      <a:off x="0" y="0"/>
                      <a:ext cx="5669280" cy="3949325"/>
                    </a:xfrm>
                    <a:prstGeom prst="rect"/>
                  </pic:spPr>
                </pic:pic>
              </a:graphicData>
            </a:graphic>
          </wp:inline>
        </w:drawing>
      </w:r>
    </w:p>
    <w:p>
      <w:pPr>
        <w:pStyle w:val="Heading2"/>
      </w:pPr>
      <w:r>
        <w:rPr>
          <w:rFonts w:ascii="Times New Roman" w:hAnsi="Times New Roman"/>
          <w:color w:val="000000"/>
        </w:rPr>
        <w:t>5. Impactos ambientales por etapa</w:t>
      </w:r>
    </w:p>
    <w:p>
      <w:pPr>
        <w:spacing w:line="240" w:lineRule="auto" w:before="0" w:after="0"/>
        <w:ind w:left="100" w:firstLine="719"/>
        <w:jc w:val="both"/>
      </w:pPr>
      <w:r>
        <w:rPr>
          <w:rFonts w:ascii="Times New Roman" w:hAnsi="Times New Roman"/>
          <w:sz w:val="24"/>
        </w:rPr>
        <w:t>Los impactos ambientales por etapa mostraron que B1: Almacenamiento de purines concentró 82 % del calentamiento global del Escenario B, con 5 128 kg CO₂-eq/año. En el Escenario A, A3: Almacenamiento de aguas verdes aportó 53,9 % del total de esta categoría.</w:t>
      </w:r>
    </w:p>
    <w:p>
      <w:pPr>
        <w:spacing w:line="240" w:lineRule="auto" w:before="0" w:after="0"/>
        <w:ind w:left="100" w:firstLine="719"/>
        <w:jc w:val="both"/>
      </w:pPr>
      <w:r>
        <w:rPr>
          <w:rFonts w:ascii="Times New Roman" w:hAnsi="Times New Roman"/>
          <w:sz w:val="24"/>
        </w:rPr>
        <w:t>Para eutrofización marina, B2: Aplicación de purines en campo de pastoreo presentó la mayor contribución del Escenario B, con 93,1 % de su total; en el Escenario A, A4: Aplicación de aguas verdes en campos de pastoreo concentró 70,6 %. La tabla de impactos por etapa presenta separadamente cambio climático, eutrofización terrestre y eutrofización marina.</w:t>
      </w:r>
    </w:p>
    <w:p>
      <w:pPr>
        <w:spacing w:line="240" w:lineRule="auto" w:before="0" w:after="0"/>
        <w:ind w:left="100" w:firstLine="719"/>
        <w:jc w:val="both"/>
      </w:pPr>
      <w:r>
        <w:rPr>
          <w:rFonts w:ascii="Times New Roman" w:hAnsi="Times New Roman"/>
          <w:sz w:val="24"/>
        </w:rPr>
        <w:t>En B1: Almacenamiento de purines, la lixiviación explícita utilizada para estimar N₂O indirecto y NO₃⁻ fue nula. La eutrofización terrestre y marina de esta etapa procede de las emisiones atmosféricas explícitas de NH₃ y NOx del balance secuencial.</w:t>
      </w:r>
    </w:p>
    <w:p>
      <w:pPr>
        <w:spacing w:line="240" w:lineRule="auto" w:before="0" w:after="0"/>
        <w:ind w:left="100" w:firstLine="719"/>
        <w:jc w:val="both"/>
      </w:pPr>
      <w:r>
        <w:rPr>
          <w:rFonts w:ascii="Times New Roman" w:hAnsi="Times New Roman"/>
          <w:sz w:val="24"/>
        </w:rPr>
        <w:t>La caracterización de las emisiones directas se realizó con Environmental Footprint 3.1: cambio climático en kg CO₂-eq, eutrofización terrestre en mol N-eq y eutrofización marina en kg N-eq.</w:t>
      </w:r>
    </w:p>
    <w:p>
      <w:pPr>
        <w:spacing w:line="240" w:lineRule="auto" w:before="0" w:after="0"/>
        <w:ind w:left="100" w:firstLine="719"/>
        <w:jc w:val="both"/>
      </w:pPr>
      <w:r>
        <w:rPr>
          <w:rFonts w:ascii="Times New Roman" w:hAnsi="Times New Roman"/>
          <w:sz w:val="24"/>
        </w:rPr>
        <w:t>Los consumos operativos se incorporaron mediante factores IMN: electricidad agregada de consumo 2025, como aproximación temporal del patrón observado en 2026, y emisiones físicas de diésel caracterizadas con EF 3.1. El total climático combina estas contribuciones con las del manejo; no corresponde exclusivamente a EF 3.1. No se modelaron cadenas completas de suministro mediante ecoinvent.</w:t>
      </w:r>
    </w:p>
    <w:p>
      <w:pPr>
        <w:spacing w:line="240" w:lineRule="auto" w:before="0" w:after="0"/>
        <w:ind w:left="100" w:firstLine="719"/>
        <w:jc w:val="both"/>
      </w:pPr>
      <w:r>
        <w:rPr>
          <w:rFonts w:ascii="Times New Roman" w:hAnsi="Times New Roman"/>
          <w:sz w:val="24"/>
        </w:rPr>
        <w:t>La Tabla R6 del bloque de apéndices internos, Impactos completos por etapa, presenta los resultados desagregados por categoría de impacto.</w:t>
      </w:r>
    </w:p>
    <w:p>
      <w:pPr>
        <w:pStyle w:val="Rótuloacadémico"/>
      </w:pPr>
      <w:r>
        <w:rPr>
          <w:rFonts w:ascii="Times New Roman" w:hAnsi="Times New Roman"/>
          <w:b/>
          <w:color w:val="000000"/>
        </w:rPr>
        <w:t>Tabla 5</w:t>
      </w:r>
    </w:p>
    <w:p>
      <w:pPr>
        <w:pStyle w:val="Descripciónacadémica"/>
      </w:pPr>
      <w:r>
        <w:rPr>
          <w:rFonts w:ascii="Times New Roman" w:hAnsi="Times New Roman"/>
          <w:i/>
          <w:color w:val="000000"/>
        </w:rPr>
        <w:t>Impactos ambientales por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Cambio climático (kg CO₂-eq/año)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marina (kg N-eq/año)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terrestre (mol N-eq/año)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525,97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292,74</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239,1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4,1</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1 709,63</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118,72</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695,41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11,05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201,49</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5 127,97</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356,4</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1 126,34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33,18</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604,87</w:t>
            </w:r>
          </w:p>
        </w:tc>
      </w:tr>
    </w:tbl>
    <w:p>
      <w:pPr>
        <w:pStyle w:val="Rótuloacadémico"/>
      </w:pPr>
      <w:r>
        <w:rPr>
          <w:rFonts w:ascii="Times New Roman" w:hAnsi="Times New Roman"/>
          <w:b/>
          <w:color w:val="000000"/>
        </w:rPr>
        <w:t>Figura 5</w:t>
      </w:r>
    </w:p>
    <w:p>
      <w:pPr>
        <w:pStyle w:val="Descripciónacadémica"/>
      </w:pPr>
      <w:r>
        <w:rPr>
          <w:rFonts w:ascii="Times New Roman" w:hAnsi="Times New Roman"/>
          <w:i/>
          <w:color w:val="000000"/>
        </w:rPr>
        <w:t>Cambio climático total por etapa y escenario (IMN y EF 3.1).</w:t>
      </w:r>
    </w:p>
    <w:p>
      <w:pPr>
        <w:ind w:left="0" w:firstLine="0"/>
        <w:jc w:val="center"/>
      </w:pPr>
      <w:r>
        <w:drawing>
          <wp:inline xmlns:a="http://schemas.openxmlformats.org/drawingml/2006/main" xmlns:pic="http://schemas.openxmlformats.org/drawingml/2006/picture">
            <wp:extent cx="5669280" cy="3169873"/>
            <wp:docPr id="5" name="Picture 5"/>
            <wp:cNvGraphicFramePr>
              <a:graphicFrameLocks noChangeAspect="1"/>
            </wp:cNvGraphicFramePr>
            <a:graphic>
              <a:graphicData uri="http://schemas.openxmlformats.org/drawingml/2006/picture">
                <pic:pic>
                  <pic:nvPicPr>
                    <pic:cNvPr id="0" name="fig_11_impactos_cambio_climatico_etapa.png"/>
                    <pic:cNvPicPr/>
                  </pic:nvPicPr>
                  <pic:blipFill>
                    <a:blip r:embed="rId14"/>
                    <a:stretch>
                      <a:fillRect/>
                    </a:stretch>
                  </pic:blipFill>
                  <pic:spPr>
                    <a:xfrm>
                      <a:off x="0" y="0"/>
                      <a:ext cx="5669280" cy="3169873"/>
                    </a:xfrm>
                    <a:prstGeom prst="rect"/>
                  </pic:spPr>
                </pic:pic>
              </a:graphicData>
            </a:graphic>
          </wp:inline>
        </w:drawing>
      </w:r>
    </w:p>
    <w:p>
      <w:pPr>
        <w:pStyle w:val="Rótuloacadémico"/>
      </w:pPr>
      <w:r>
        <w:rPr>
          <w:rFonts w:ascii="Times New Roman" w:hAnsi="Times New Roman"/>
          <w:b/>
          <w:color w:val="000000"/>
        </w:rPr>
        <w:t>Figura 6</w:t>
      </w:r>
    </w:p>
    <w:p>
      <w:pPr>
        <w:pStyle w:val="Descripciónacadémica"/>
      </w:pPr>
      <w:r>
        <w:rPr>
          <w:rFonts w:ascii="Times New Roman" w:hAnsi="Times New Roman"/>
          <w:i/>
          <w:color w:val="000000"/>
        </w:rPr>
        <w:t>Eutrofización terrestre EF 3.1 por etapa y escenario.</w:t>
      </w:r>
    </w:p>
    <w:p>
      <w:pPr>
        <w:ind w:left="0" w:firstLine="0"/>
        <w:jc w:val="center"/>
      </w:pPr>
      <w:r>
        <w:drawing>
          <wp:inline xmlns:a="http://schemas.openxmlformats.org/drawingml/2006/main" xmlns:pic="http://schemas.openxmlformats.org/drawingml/2006/picture">
            <wp:extent cx="5669280" cy="3172071"/>
            <wp:docPr id="6" name="Picture 6"/>
            <wp:cNvGraphicFramePr>
              <a:graphicFrameLocks noChangeAspect="1"/>
            </wp:cNvGraphicFramePr>
            <a:graphic>
              <a:graphicData uri="http://schemas.openxmlformats.org/drawingml/2006/picture">
                <pic:pic>
                  <pic:nvPicPr>
                    <pic:cNvPr id="0" name="fig_12_impactos_eutrofizacion_terrestre_etapa.png"/>
                    <pic:cNvPicPr/>
                  </pic:nvPicPr>
                  <pic:blipFill>
                    <a:blip r:embed="rId15"/>
                    <a:stretch>
                      <a:fillRect/>
                    </a:stretch>
                  </pic:blipFill>
                  <pic:spPr>
                    <a:xfrm>
                      <a:off x="0" y="0"/>
                      <a:ext cx="5669280" cy="3172071"/>
                    </a:xfrm>
                    <a:prstGeom prst="rect"/>
                  </pic:spPr>
                </pic:pic>
              </a:graphicData>
            </a:graphic>
          </wp:inline>
        </w:drawing>
      </w:r>
    </w:p>
    <w:p>
      <w:pPr>
        <w:pStyle w:val="Heading2"/>
      </w:pPr>
      <w:r>
        <w:rPr>
          <w:rFonts w:ascii="Times New Roman" w:hAnsi="Times New Roman"/>
          <w:color w:val="000000"/>
        </w:rPr>
        <w:t>6. Impactos totales por escenario</w:t>
      </w:r>
    </w:p>
    <w:p>
      <w:pPr>
        <w:spacing w:line="240" w:lineRule="auto" w:before="0" w:after="0"/>
        <w:ind w:left="100" w:firstLine="719"/>
        <w:jc w:val="both"/>
      </w:pPr>
      <w:r>
        <w:rPr>
          <w:rFonts w:ascii="Times New Roman" w:hAnsi="Times New Roman"/>
          <w:sz w:val="24"/>
        </w:rPr>
        <w:t>En el Escenario A, el impacto climático del manejo fue de 2 688 kg CO₂-eq/año; la electricidad operativa aportó 2,209 y la combustión de diésel 480,2 kg CO₂-eq/año. La contribución energética conjunta fue de 482,4 kg CO₂-eq/año, equivalente a 0,01836 kg CO₂-eq/kg de estiércol fresco manejado.</w:t>
      </w:r>
    </w:p>
    <w:p>
      <w:pPr>
        <w:spacing w:line="240" w:lineRule="auto" w:before="0" w:after="0"/>
        <w:ind w:left="100" w:firstLine="719"/>
        <w:jc w:val="both"/>
      </w:pPr>
      <w:r>
        <w:rPr>
          <w:rFonts w:ascii="Times New Roman" w:hAnsi="Times New Roman"/>
          <w:sz w:val="24"/>
        </w:rPr>
        <w:t>En el Escenario B, el impacto climático del manejo fue de 5 772 kg CO₂-eq/año; la electricidad operativa aportó 2,209 y la combustión de diésel 480,2 kg CO₂-eq/año. La contribución energética conjunta fue de 482,4 kg CO₂-eq/año, equivalente a 0,01836 kg CO₂-eq/kg de estiércol fresco manejado.</w:t>
      </w:r>
    </w:p>
    <w:p>
      <w:pPr>
        <w:spacing w:line="240" w:lineRule="auto" w:before="0" w:after="0"/>
        <w:ind w:left="100" w:firstLine="719"/>
        <w:jc w:val="both"/>
      </w:pPr>
      <w:r>
        <w:rPr>
          <w:rFonts w:ascii="Times New Roman" w:hAnsi="Times New Roman"/>
          <w:sz w:val="24"/>
        </w:rPr>
        <w:t>El Escenario A alcanzó 3 170 kg CO₂-eq/año, 617,1 mol N-eq/año de eutrofización terrestre y 15,65 kg N-eq/año de eutrofización marina. El Escenario B alcanzó 6 254 kg CO₂-eq/año, 961,3 mol N-eq/año y 35,62 kg N-eq/año, respectivamente.</w:t>
      </w:r>
    </w:p>
    <w:p>
      <w:pPr>
        <w:spacing w:line="240" w:lineRule="auto" w:before="0" w:after="0"/>
        <w:ind w:left="100" w:firstLine="719"/>
        <w:jc w:val="both"/>
      </w:pPr>
      <w:r>
        <w:rPr>
          <w:rFonts w:ascii="Times New Roman" w:hAnsi="Times New Roman"/>
          <w:sz w:val="24"/>
        </w:rPr>
        <w:t>Por unidad funcional, el Escenario A presentó 0,1206 kg CO₂-eq, 0,02348 mol N-eq terrestre y 5,955 × 10⁻⁴ kg N-eq marino por kg de estiércol fresco manejado. Para el Escenario B fueron 0,238, 0,03658 y 0,001356, respectivamente.</w:t>
      </w:r>
    </w:p>
    <w:p>
      <w:pPr>
        <w:spacing w:line="240" w:lineRule="auto" w:before="0" w:after="0"/>
        <w:ind w:left="100" w:firstLine="719"/>
        <w:jc w:val="both"/>
      </w:pPr>
      <w:r>
        <w:rPr>
          <w:rFonts w:ascii="Times New Roman" w:hAnsi="Times New Roman"/>
          <w:sz w:val="24"/>
        </w:rPr>
        <w:t>La Tabla 6 distingue los resultados anualizados, que representan la magnitud operacional, de los resultados normalizados respecto a 1 kg de estiércol fresco manejado.</w:t>
      </w:r>
    </w:p>
    <w:p>
      <w:pPr>
        <w:spacing w:line="240" w:lineRule="auto" w:before="0" w:after="0"/>
        <w:ind w:left="100" w:firstLine="719"/>
        <w:jc w:val="both"/>
      </w:pPr>
      <w:r>
        <w:rPr>
          <w:rFonts w:ascii="Times New Roman" w:hAnsi="Times New Roman"/>
          <w:sz w:val="24"/>
        </w:rPr>
        <w:t>La Tabla R7 del bloque de apéndices internos, Impactos totales completos por escenario, presenta el detalle de la agregación utilizada en esta comparación.</w:t>
      </w:r>
    </w:p>
    <w:p>
      <w:pPr>
        <w:pStyle w:val="Rótuloacadémico"/>
      </w:pPr>
      <w:r>
        <w:rPr>
          <w:rFonts w:ascii="Times New Roman" w:hAnsi="Times New Roman"/>
          <w:b/>
          <w:color w:val="000000"/>
        </w:rPr>
        <w:t>Tabla 6</w:t>
      </w:r>
    </w:p>
    <w:p>
      <w:pPr>
        <w:pStyle w:val="Descripciónacadémica"/>
      </w:pPr>
      <w:r>
        <w:rPr>
          <w:rFonts w:ascii="Times New Roman" w:hAnsi="Times New Roman"/>
          <w:i/>
          <w:color w:val="000000"/>
        </w:rPr>
        <w:t>Impactos ambientales totales y normalizados por escenario.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Calentamiento global (kg CO₂-eq/año)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terrestre (mol N-eq/año)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marina (kg N-eq/año)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Calentamiento global (kg CO₂-eq/kg de estiércol fresco)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terrestre (mol N-eq/kg de estiércol fresco)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Eutrofización marina (kg N-eq/kg de estiércol fresco)</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3 170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617,1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15,65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0,1206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0,02348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5,955 × 10⁻⁴</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0,238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0,03658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0,001356</w:t>
            </w:r>
          </w:p>
        </w:tc>
      </w:tr>
    </w:tbl>
    <w:p>
      <w:pPr>
        <w:pStyle w:val="Heading2"/>
      </w:pPr>
      <w:r>
        <w:rPr>
          <w:rFonts w:ascii="Times New Roman" w:hAnsi="Times New Roman"/>
          <w:color w:val="000000"/>
        </w:rPr>
        <w:t>7. Comparación entre escenarios</w:t>
      </w:r>
    </w:p>
    <w:p>
      <w:pPr>
        <w:spacing w:line="240" w:lineRule="auto" w:before="0" w:after="0"/>
        <w:ind w:left="100" w:firstLine="719"/>
        <w:jc w:val="both"/>
      </w:pPr>
      <w:r>
        <w:rPr>
          <w:rFonts w:ascii="Times New Roman" w:hAnsi="Times New Roman"/>
          <w:sz w:val="24"/>
        </w:rPr>
        <w:t>La comparación bajo la misma unidad funcional mostró un mayor impacto de calentamiento global en el Escenario B. La diferencia B menos A fue de 3 084 kg CO₂-eq/año, equivalente a 97,3 % respecto al Escenario A.</w:t>
      </w:r>
    </w:p>
    <w:p>
      <w:pPr>
        <w:spacing w:line="240" w:lineRule="auto" w:before="0" w:after="0"/>
        <w:ind w:left="100" w:firstLine="719"/>
        <w:jc w:val="both"/>
      </w:pPr>
      <w:r>
        <w:rPr>
          <w:rFonts w:ascii="Times New Roman" w:hAnsi="Times New Roman"/>
          <w:sz w:val="24"/>
        </w:rPr>
        <w:t>En eutrofización terrestre, el Escenario B presentó el mayor impacto y el Escenario A el menor. La diferencia B menos A fue de 344,2 mol N-eq/año, equivalente a 55,8 % respecto al Escenario A.</w:t>
      </w:r>
    </w:p>
    <w:p>
      <w:pPr>
        <w:spacing w:line="240" w:lineRule="auto" w:before="0" w:after="0"/>
        <w:ind w:left="100" w:firstLine="719"/>
        <w:jc w:val="both"/>
      </w:pPr>
      <w:r>
        <w:rPr>
          <w:rFonts w:ascii="Times New Roman" w:hAnsi="Times New Roman"/>
          <w:sz w:val="24"/>
        </w:rPr>
        <w:t>En eutrofización marina, el Escenario B presentó el mayor impacto y el Escenario A el menor. La diferencia B menos A fue de 19,97 kg N-eq/año, equivalente a 127,6 % respecto al Escenario A. La comparación conserva cada categoría EF 3.1 en su propia unidad.</w:t>
      </w:r>
    </w:p>
    <w:p>
      <w:pPr>
        <w:spacing w:line="240" w:lineRule="auto" w:before="0" w:after="0"/>
        <w:ind w:left="100" w:firstLine="719"/>
        <w:jc w:val="both"/>
      </w:pPr>
      <w:r>
        <w:rPr>
          <w:rFonts w:ascii="Times New Roman" w:hAnsi="Times New Roman"/>
          <w:sz w:val="24"/>
        </w:rPr>
        <w:t>La Tabla R8 del bloque de apéndices internos, Comparación completa de escenarios, amplía las diferencias absolutas y porcentuales. La relación entre los contenidos, sus bases de información y las figuras asociadas se documenta en el Apéndice R10, Correspondencia entre tablas, figuras y archivos fuente.</w:t>
      </w:r>
    </w:p>
    <w:p>
      <w:pPr>
        <w:pStyle w:val="Rótuloacadémico"/>
      </w:pPr>
      <w:r>
        <w:rPr>
          <w:rFonts w:ascii="Times New Roman" w:hAnsi="Times New Roman"/>
          <w:b/>
          <w:color w:val="000000"/>
        </w:rPr>
        <w:t>Tabla 7</w:t>
      </w:r>
    </w:p>
    <w:p>
      <w:pPr>
        <w:pStyle w:val="Descripciónacadémica"/>
      </w:pPr>
      <w:r>
        <w:rPr>
          <w:rFonts w:ascii="Times New Roman" w:hAnsi="Times New Roman"/>
          <w:i/>
          <w:color w:val="000000"/>
        </w:rPr>
        <w:t>Comparación de impactos ambientales entre escenarios.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Categoría de impacto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B</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absoluta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porcentual B respecto a 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con mayor impacto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3 170,114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6 254,307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3 084,194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97,3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617,052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961,269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344,218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55,8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15,648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19,974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127,6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bl>
    <w:p>
      <w:pPr>
        <w:pStyle w:val="Rótuloacadémico"/>
      </w:pPr>
      <w:r>
        <w:rPr>
          <w:rFonts w:ascii="Times New Roman" w:hAnsi="Times New Roman"/>
          <w:b/>
          <w:color w:val="000000"/>
        </w:rPr>
        <w:t>Figura 7</w:t>
      </w:r>
    </w:p>
    <w:p>
      <w:pPr>
        <w:pStyle w:val="Descripciónacadémica"/>
      </w:pPr>
      <w:r>
        <w:rPr>
          <w:rFonts w:ascii="Times New Roman" w:hAnsi="Times New Roman"/>
          <w:i/>
          <w:color w:val="000000"/>
        </w:rPr>
        <w:t>Diferencia porcentual del Escenario B respecto al Escenario A por categoría de impacto.</w:t>
      </w:r>
    </w:p>
    <w:p>
      <w:pPr>
        <w:ind w:left="0" w:firstLine="0"/>
        <w:jc w:val="center"/>
      </w:pPr>
      <w:r>
        <w:drawing>
          <wp:inline xmlns:a="http://schemas.openxmlformats.org/drawingml/2006/main" xmlns:pic="http://schemas.openxmlformats.org/drawingml/2006/picture">
            <wp:extent cx="5669280" cy="4092512"/>
            <wp:docPr id="7" name="Picture 7"/>
            <wp:cNvGraphicFramePr>
              <a:graphicFrameLocks noChangeAspect="1"/>
            </wp:cNvGraphicFramePr>
            <a:graphic>
              <a:graphicData uri="http://schemas.openxmlformats.org/drawingml/2006/picture">
                <pic:pic>
                  <pic:nvPicPr>
                    <pic:cNvPr id="0" name="fig_17_comparacion_diferencia_porcentual.png"/>
                    <pic:cNvPicPr/>
                  </pic:nvPicPr>
                  <pic:blipFill>
                    <a:blip r:embed="rId16"/>
                    <a:stretch>
                      <a:fillRect/>
                    </a:stretch>
                  </pic:blipFill>
                  <pic:spPr>
                    <a:xfrm>
                      <a:off x="0" y="0"/>
                      <a:ext cx="5669280" cy="4092512"/>
                    </a:xfrm>
                    <a:prstGeom prst="rect"/>
                  </pic:spPr>
                </pic:pic>
              </a:graphicData>
            </a:graphic>
          </wp:inline>
        </w:drawing>
      </w:r>
    </w:p>
    <w:p>
      <w:pPr>
        <w:pStyle w:val="Heading2"/>
      </w:pPr>
      <w:r>
        <w:rPr>
          <w:rFonts w:ascii="Times New Roman" w:hAnsi="Times New Roman"/>
          <w:color w:val="000000"/>
        </w:rPr>
        <w:t>8. Contraste experimental bibliográfico de A2</w:t>
      </w:r>
    </w:p>
    <w:p>
      <w:pPr>
        <w:spacing w:line="240" w:lineRule="auto" w:before="0" w:after="0"/>
        <w:ind w:left="100" w:firstLine="719"/>
        <w:jc w:val="both"/>
      </w:pPr>
      <w:r>
        <w:rPr>
          <w:rFonts w:ascii="Times New Roman" w:hAnsi="Times New Roman"/>
          <w:sz w:val="24"/>
        </w:rPr>
        <w:t>Los resultados oficiales de A2: Lombricompostaje se contrastaron con la referencia empírica de Jjagwe et al. (2019) como referencia interpretativa, sin reinicializar el balance secuencial, forzar NH₃ nulo, sustituir la arquitectura IPCC–EMEP–Komakech ni crear un segundo inventario oficial. La base común fue la materia seca del estiércol precompostado al ingreso de A2.</w:t>
      </w:r>
    </w:p>
    <w:p>
      <w:pPr>
        <w:spacing w:line="240" w:lineRule="auto" w:before="0" w:after="0"/>
        <w:ind w:left="100" w:firstLine="719"/>
        <w:jc w:val="both"/>
      </w:pPr>
      <w:r>
        <w:rPr>
          <w:rFonts w:ascii="Times New Roman" w:hAnsi="Times New Roman"/>
          <w:sz w:val="24"/>
        </w:rPr>
        <w:t>La estimación IPCC de CH₄ fue 3,016 g CH₄/kg de materia seca, frente a 7,6 g CH₄/kg de materia seca. La razón IPCC/referencia fue 0,3968 y la diferencia relativa fue −60,3 %.</w:t>
      </w:r>
    </w:p>
    <w:p>
      <w:pPr>
        <w:spacing w:line="240" w:lineRule="auto" w:before="0" w:after="0"/>
        <w:ind w:left="100" w:firstLine="719"/>
        <w:jc w:val="both"/>
      </w:pPr>
      <w:r>
        <w:rPr>
          <w:rFonts w:ascii="Times New Roman" w:hAnsi="Times New Roman"/>
          <w:sz w:val="24"/>
        </w:rPr>
        <w:t>Para N₂O directo, la estimación IPCC fue 268 mg N₂O/kg de materia seca y la referencia experimental fue 39,43 mg N₂O/kg de materia seca. La razón fue 6,798. El N₂O indirecto por volatilización permanece en el inventario oficial, pero se excluyó de esta comparación porque no representa una emisión medida físicamente dentro del lecho.</w:t>
      </w:r>
    </w:p>
    <w:p>
      <w:pPr>
        <w:spacing w:line="240" w:lineRule="auto" w:before="0" w:after="0"/>
        <w:ind w:left="100" w:firstLine="719"/>
        <w:jc w:val="both"/>
      </w:pPr>
      <w:r>
        <w:rPr>
          <w:rFonts w:ascii="Times New Roman" w:hAnsi="Times New Roman"/>
          <w:sz w:val="24"/>
        </w:rPr>
        <w:t>Como indicador complementario, la fracción de N inicial emitida como N₂O-N directo fue 0,006811 kg N₂O-N/kg N para IPCC y 0,001742 kg N₂O-N/kg N para la referencia experimental; la razón fue 3,909. Este resultado apoya la interpretación y no constituye una validación formal del modelo.</w:t>
      </w:r>
    </w:p>
    <w:p>
      <w:pPr>
        <w:spacing w:line="240" w:lineRule="auto" w:before="0" w:after="0"/>
        <w:ind w:left="100" w:firstLine="719"/>
        <w:jc w:val="both"/>
      </w:pPr>
      <w:r>
        <w:rPr>
          <w:rFonts w:ascii="Times New Roman" w:hAnsi="Times New Roman"/>
          <w:sz w:val="24"/>
        </w:rPr>
        <w:t>El contraste armonizado de CH₄ + N₂O directo, caracterizado con los mismos factores vigentes del TFG, fue 0,1546 kg CO₂-eq/kg de materia seca para IPCC y 0,216 kg CO₂-eq/kg de materia seca para Jjagwe et al. (2019). Este indicador no representa el impacto climático total del sistema: excluye CO₂ experimental y N₂O indirecto IPCC.</w:t>
      </w:r>
    </w:p>
    <w:p>
      <w:pPr>
        <w:spacing w:line="240" w:lineRule="auto" w:before="0" w:after="0"/>
        <w:ind w:left="100" w:firstLine="719"/>
        <w:jc w:val="both"/>
      </w:pPr>
      <w:r>
        <w:rPr>
          <w:rFonts w:ascii="Times New Roman" w:hAnsi="Times New Roman"/>
          <w:sz w:val="24"/>
        </w:rPr>
        <w:t>Las desviaciones no mostraron una dirección uniforme entre especies: la estimación IPCC fue menor para CH₄ y mayor para N₂O directo. Por ello, el contraste no evidencia un sesgo uniforme del método IPCC en A2 y no sustenta afirmar, de forma global, que este sobreestime, subestime o sea más conservador. La compensación parcial entre el menor CH₄ y el mayor N₂O directo en el indicador armonizado demuestra que el resultado agregado no sustituye el análisis separado de cada flujo gaseoso.</w:t>
      </w:r>
    </w:p>
    <w:p>
      <w:pPr>
        <w:spacing w:line="240" w:lineRule="auto" w:before="0" w:after="0"/>
        <w:ind w:left="100" w:firstLine="719"/>
        <w:jc w:val="both"/>
      </w:pPr>
      <w:r>
        <w:rPr>
          <w:rFonts w:ascii="Times New Roman" w:hAnsi="Times New Roman"/>
          <w:sz w:val="24"/>
        </w:rPr>
        <w:t>Jjagwe et al. (2019) reportaron una pérdida atmosférica de 18,18 % del N inicial y una distribución de 74,55 % en vermicompost y 7,27 % en biomasa de lombrices. Esta pérdida se consideró solo como contraste conceptual: no es equivalente a la fracción IPCC encaminada a volatilización, porque las especies, métodos y fronteras difieren y parte del N atmosférico no cuantificado podría corresponder a N2.</w:t>
      </w:r>
    </w:p>
    <w:p>
      <w:pPr>
        <w:spacing w:line="240" w:lineRule="auto" w:before="0" w:after="0"/>
        <w:ind w:left="100" w:firstLine="719"/>
        <w:jc w:val="both"/>
      </w:pPr>
      <w:r>
        <w:rPr>
          <w:rFonts w:ascii="Times New Roman" w:hAnsi="Times New Roman"/>
          <w:sz w:val="24"/>
        </w:rPr>
        <w:t>El estudio de Jjagwe et al. se realizó en Uganda como un sistema experimental con unidades replicadas y empleó la especie Eudrilus eugeniae. El material se mantuvo aproximadamente entre 60 y 70 % de humedad, el proceso se organizó en ciclos cercanos a 12 semanas, el estiércol se incorporó progresivamente y había permanecido alrededor de una semana almacenado bajo sombra antes de ingresar al sistema. En contraste, A2 representa una operación real de lombricompostaje en Turrialba, estimada mediante la arquitectura híbrida vigente y la categoría IPCC disponible Composting – Passive Windrow para CH₄ y N₂O directo, con las características propias de su sustrato y condiciones operativas. Estas diferencias de especie, acondicionamiento, alimentación, humedad, duración, ambiente geográfico y escala pueden influir en las emisiones y muestran que la base material armonizada no vuelve físicamente idénticos ambos sistemas.</w:t>
      </w:r>
    </w:p>
    <w:p>
      <w:pPr>
        <w:spacing w:line="240" w:lineRule="auto" w:before="0" w:after="0"/>
        <w:ind w:left="100" w:firstLine="719"/>
        <w:jc w:val="both"/>
      </w:pPr>
      <w:r>
        <w:rPr>
          <w:rFonts w:ascii="Times New Roman" w:hAnsi="Times New Roman"/>
          <w:sz w:val="24"/>
        </w:rPr>
        <w:t>Jjagwe et al. determinaron CO₂, CH₄, NH₃ y N₂O mediante cámaras estáticas en momentos discretos del proceso, incluidas las semanas 4, 8 y 12. Ese diseño de medición no reproduce necesariamente la variación temporal completa de una operación real. Además, el análisis de flujo de materiales no permitió identificar por completo las especies del N atmosférico; los autores plantearon que parte importante del N no cuantificado como los gases Factor medidos podría corresponder a N2 u otras formas. Estas limitaciones de medición y balance impiden atribuir las divergencias exclusivamente al método IPCC y confirman que el 18,18 % no es una medición equivalente a la fracción IPCC encaminada a volatilización.</w:t>
      </w:r>
    </w:p>
    <w:p>
      <w:pPr>
        <w:spacing w:line="240" w:lineRule="auto" w:before="0" w:after="0"/>
        <w:ind w:left="100" w:firstLine="719"/>
        <w:jc w:val="both"/>
      </w:pPr>
      <w:r>
        <w:rPr>
          <w:rFonts w:ascii="Times New Roman" w:hAnsi="Times New Roman"/>
          <w:sz w:val="24"/>
        </w:rPr>
        <w:t>En consecuencia, la comparación contrasta una estimación modelada con una referencia experimental externa sobre una base material armonizada, pero no sistemas físicamente idénticos. Los resultados se interpretan como contraste con literatura y no como validación o invalidación de las estimaciones IPCC.</w:t>
      </w:r>
    </w:p>
    <w:p>
      <w:pPr>
        <w:spacing w:line="240" w:lineRule="auto" w:before="0" w:after="0"/>
        <w:ind w:left="100" w:firstLine="719"/>
        <w:jc w:val="both"/>
      </w:pPr>
      <w:r>
        <w:rPr>
          <w:rFonts w:ascii="Times New Roman" w:hAnsi="Times New Roman"/>
          <w:sz w:val="24"/>
        </w:rPr>
        <w:t>No se calculó eutrofización experimental. El NH₃ no fue detectado durante la campaña, el N atmosférico no quedó completamente especiado y la adaptación del TFG para representar N potencialmente eutrofizante no constituye una especiación experimental equivalente.</w:t>
      </w:r>
    </w:p>
    <w:p>
      <w:pPr>
        <w:spacing w:line="240" w:lineRule="auto" w:before="0" w:after="0"/>
        <w:ind w:left="100" w:firstLine="719"/>
        <w:jc w:val="both"/>
      </w:pPr>
      <w:r>
        <w:rPr>
          <w:rFonts w:ascii="Times New Roman" w:hAnsi="Times New Roman"/>
          <w:sz w:val="24"/>
        </w:rPr>
        <w:t>El artículo presenta una inconsistencia interna para N₂O: el resumen indica 3,943 × 10⁻⁵ g N₂O/kg de materia seca, mientras la sección de resultados y la Figura 3 muestran un orden de decenas de miligramos, coherente además con el potencial de calentamiento global publicado. Para este contraste se adoptó explícitamente 39,43 mg N₂O/kg de materia seca.</w:t>
      </w:r>
    </w:p>
    <w:p>
      <w:pPr>
        <w:pStyle w:val="Rótuloacadémico"/>
      </w:pPr>
      <w:r>
        <w:rPr>
          <w:rFonts w:ascii="Times New Roman" w:hAnsi="Times New Roman"/>
          <w:b/>
          <w:color w:val="000000"/>
        </w:rPr>
        <w:t>Tabla 8</w:t>
      </w:r>
    </w:p>
    <w:p>
      <w:pPr>
        <w:pStyle w:val="Descripciónacadémica"/>
      </w:pPr>
      <w:r>
        <w:rPr>
          <w:rFonts w:ascii="Times New Roman" w:hAnsi="Times New Roman"/>
          <w:i/>
          <w:color w:val="000000"/>
        </w:rPr>
        <w:t>Contraste bibliográfico de A2 sobre materia seca de entrada.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Indicador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Estimación IPCC</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Referencia experimental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IPCC menos referencia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Razón IPCC/referencia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relativa a la referencia (%)</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por materia seca de entrada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3,016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CH₄/kg MS entrada A2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−4,584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0,3968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−60,3</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materia seca de entrada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39,43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mg N₂O/kg MS entrada A2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228,6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6,798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579,8</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N₂O-N directo por N inicial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0,006811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0,001742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 inicial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0,005069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3,909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290,9</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Contraste armonizado de CH₄ y N₂O directo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0,1546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0,216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MS entrada A2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−0,06136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0,7159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−28,4</w:t>
            </w:r>
          </w:p>
        </w:tc>
      </w:tr>
    </w:tbl>
    <w:p>
      <w:pPr>
        <w:pStyle w:val="Heading1"/>
      </w:pPr>
      <w:r>
        <w:rPr>
          <w:rFonts w:ascii="Times New Roman" w:hAnsi="Times New Roman"/>
          <w:color w:val="000000"/>
        </w:rPr>
        <w:t>Apéndices internos de resultados</w:t>
      </w:r>
    </w:p>
    <w:p>
      <w:pPr>
        <w:spacing w:line="240" w:lineRule="auto" w:before="0" w:after="0"/>
        <w:ind w:left="100" w:firstLine="719"/>
        <w:jc w:val="both"/>
      </w:pPr>
      <w:r>
        <w:rPr>
          <w:rFonts w:ascii="Times New Roman" w:hAnsi="Times New Roman"/>
          <w:sz w:val="24"/>
        </w:rPr>
        <w:t>Los apéndices internos contienen las Tablas R1, R2, R3, R4, R5, R6, R7 y R8, las Figuras R1 a R8 y la Tabla R10 de correspondencia. Las figuras complementarias de emisiones de N₂O, NH₃, NO₃⁻ y CO₂ respaldan la interpretación de las emisiones por sustancia.</w:t>
      </w:r>
    </w:p>
    <w:p>
      <w:pPr>
        <w:pStyle w:val="Rótuloacadémico"/>
      </w:pPr>
      <w:r>
        <w:rPr>
          <w:rFonts w:ascii="Times New Roman" w:hAnsi="Times New Roman"/>
          <w:b/>
          <w:color w:val="000000"/>
        </w:rPr>
        <w:t>Tabla R1</w:t>
      </w:r>
    </w:p>
    <w:p>
      <w:pPr>
        <w:pStyle w:val="Descripciónacadémica"/>
      </w:pPr>
      <w:r>
        <w:rPr>
          <w:rFonts w:ascii="Times New Roman" w:hAnsi="Times New Roman"/>
          <w:i/>
          <w:color w:val="000000"/>
        </w:rPr>
        <w:t>Caracterización completa de muestras.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958"/>
        <w:gridCol w:w="958"/>
        <w:gridCol w:w="958"/>
        <w:gridCol w:w="958"/>
        <w:gridCol w:w="958"/>
        <w:gridCol w:w="958"/>
        <w:gridCol w:w="958"/>
        <w:gridCol w:w="958"/>
        <w:gridCol w:w="958"/>
        <w:gridCol w:w="958"/>
      </w:tblGrid>
      <w:tr>
        <w:trPr>
          <w:cantSplit/>
          <w:tblHeader w:val="true"/>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material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Material analizado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Jornada de muestreo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Número de muestras de sólidos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Número de muestras de nitrógeno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Variable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Desviación estándar</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estado integracion</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0,207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Humedad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86,4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0,8913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0,8913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Cenizas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15,2871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1,6462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1,6462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0,112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Humedad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79,3321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2,4593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20,6679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2,4593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Cenizas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24,9755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5,75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5,75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M1 M2</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M2 pendiente M3</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provisional M2 pendiente M3</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Densidad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g/mL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solo caracterizacion</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Densidad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g/mL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solo caracterizacion</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M1;M2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Carbono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36,3058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0,7931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solo caracterizacion</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Relación C/N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Relación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solo caracterizacion</w:t>
            </w:r>
          </w:p>
        </w:tc>
      </w:tr>
    </w:tbl>
    <w:p>
      <w:pPr>
        <w:pStyle w:val="Rótuloacadémico"/>
      </w:pPr>
      <w:r>
        <w:rPr>
          <w:rFonts w:ascii="Times New Roman" w:hAnsi="Times New Roman"/>
          <w:b/>
          <w:color w:val="000000"/>
        </w:rPr>
        <w:t>Tabla R2</w:t>
      </w:r>
    </w:p>
    <w:p>
      <w:pPr>
        <w:pStyle w:val="Descripciónacadémica"/>
      </w:pPr>
      <w:r>
        <w:rPr>
          <w:rFonts w:ascii="Times New Roman" w:hAnsi="Times New Roman"/>
          <w:i/>
          <w:color w:val="000000"/>
        </w:rPr>
        <w:t>Flujos completos del inventario.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916"/>
        <w:gridCol w:w="1916"/>
        <w:gridCol w:w="1916"/>
        <w:gridCol w:w="1916"/>
        <w:gridCol w:w="1916"/>
      </w:tblGrid>
      <w:tr>
        <w:trPr>
          <w:cantSplit/>
          <w:tblHeader w:val="true"/>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Flujo o material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sólida precompostada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boñiga asociada a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boñiga incorporada a las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250 572,5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 almacenado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Boñiga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al purín</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250 572,5</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r>
      <w:tr>
        <w:trPr>
          <w:cantSplit/>
        </w:trPr>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restante fresco a precompostado</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0,424</w:t>
            </w:r>
          </w:p>
        </w:tc>
        <w:tc>
          <w:tcPr>
            <w:tcW w:type="dxa" w:w="1916"/>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kg/kg</w:t>
            </w:r>
          </w:p>
        </w:tc>
      </w:tr>
    </w:tbl>
    <w:p>
      <w:pPr>
        <w:pStyle w:val="Rótuloacadémico"/>
      </w:pPr>
      <w:r>
        <w:rPr>
          <w:rFonts w:ascii="Times New Roman" w:hAnsi="Times New Roman"/>
          <w:b/>
          <w:color w:val="000000"/>
        </w:rPr>
        <w:t>Tabla R3</w:t>
      </w:r>
    </w:p>
    <w:p>
      <w:pPr>
        <w:pStyle w:val="Descripciónacadémica"/>
      </w:pPr>
      <w:r>
        <w:rPr>
          <w:rFonts w:ascii="Times New Roman" w:hAnsi="Times New Roman"/>
          <w:i/>
          <w:color w:val="000000"/>
        </w:rPr>
        <w:t>Parámetros completos del modelo ACV.</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958"/>
        <w:gridCol w:w="958"/>
        <w:gridCol w:w="958"/>
        <w:gridCol w:w="958"/>
        <w:gridCol w:w="958"/>
        <w:gridCol w:w="958"/>
        <w:gridCol w:w="958"/>
        <w:gridCol w:w="958"/>
        <w:gridCol w:w="958"/>
        <w:gridCol w:w="958"/>
      </w:tblGrid>
      <w:tr>
        <w:trPr>
          <w:cantSplit/>
          <w:tblHeader w:val="true"/>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material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Modelo de cálculo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Sistema de manejo u origen previo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Parámetro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Flujo o material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Marco de cálculo de la etapa</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2,5042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75,0245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20,6679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precompostado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9,256 × 10⁻⁵</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Agua de lavado incorporada a las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0,5181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84,7129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Estiércol fresco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reportado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0,0139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N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Nitrógeno total como fraccion masica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Sólidos volátiles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base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Materia seca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 masa húmeda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Masa equivalente total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eq/año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volatilizado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Purín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de N lixiviado en MMS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53,2292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kWh/año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53,2292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kWh/año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Manejo del estiércol</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Suelos gestionados</w:t>
            </w:r>
          </w:p>
        </w:tc>
      </w:tr>
    </w:tbl>
    <w:p>
      <w:pPr>
        <w:pStyle w:val="Rótuloacadémico"/>
      </w:pPr>
      <w:r>
        <w:rPr>
          <w:rFonts w:ascii="Times New Roman" w:hAnsi="Times New Roman"/>
          <w:b/>
          <w:color w:val="000000"/>
        </w:rPr>
        <w:t>Tabla R4</w:t>
      </w:r>
    </w:p>
    <w:p>
      <w:pPr>
        <w:pStyle w:val="Descripciónacadémica"/>
      </w:pPr>
      <w:r>
        <w:rPr>
          <w:rFonts w:ascii="Times New Roman" w:hAnsi="Times New Roman"/>
          <w:i/>
          <w:color w:val="000000"/>
        </w:rPr>
        <w:t>Factores completos de emisión y caracterización.</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597"/>
        <w:gridCol w:w="1597"/>
        <w:gridCol w:w="1597"/>
        <w:gridCol w:w="1597"/>
        <w:gridCol w:w="1597"/>
        <w:gridCol w:w="1597"/>
      </w:tblGrid>
      <w:tr>
        <w:trPr>
          <w:cantSplit/>
          <w:tblHeader w:val="true"/>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Tipo de factor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Sistema o compuesto evaluado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factor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Referencia metodológica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manejo en corral seco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0,035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Almacenamiento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en sistema cerrado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Laguna anaerobia descubierta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Tratamiento aeróbico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Sistema de estiércol líquido without natural crust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land application managed Sistema de estiércol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intensivo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volatilizada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IPCC por sistema de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Compostaje pasivo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Fraccion lixiviada MMS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específico del sistema estudiado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lixiviada efectiva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adimensional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Vargas Sarmiento (2023) y observación directa del investigador</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Proporción TAN/N del estiércol fresco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TAN/kg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N₂-N del manejo sólido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N2-N/kg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N₂-N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N2-N/kg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3-10</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mineralización del N orgánico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mineralised organic N/kg organic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Step 9 Equation 32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NH₃-N durante la aplicación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NH₃-N/kg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3.B Table 3-9</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NOx reportado como NO₂ durante la aplicación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NO2/kg Estiércol N applied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EMEP/EEA 2023 Chapter 3.D Table 3-1 page 14</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 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EF3 del almacenamiento líquido sin costra natural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percent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10.17</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MCF del almacenamiento líquido (tabla general IPCC)</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percent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10.17</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drenaje de A1: Precomposteo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 drainage/kg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lixiviación del almacenamiento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Decision record and IPCC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 A1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 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Referencia de contraste FracGasMS del almacenamiento líquido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volatilised N/kg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10.22</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EF4 de deposición atmosférica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NH₃-N+NOx-N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all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EF5 de lixiviación y escorrentía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N leached/runoff</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drainage;A4;B2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lixiviación y escorrentía desde suelo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 leached/runoff/kg N input</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A4;B2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EF1 de N orgánico aplicado al suelo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N₂O-N/kg Estiércol N applied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11 Table 11.1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del balance secuencial de N total y TAN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NH₃ de A2: Lombricompostaje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NH₃/Mg biowaste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Komakech et al. 2016 DOI 10.1016/j.jenvman.2016.06.028</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Capacidad máxima de producción de CH₄ del estiércol lechero (B₀)</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m³ CH₄/kg VS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Table 10.16A</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de volumen a masa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CH₄/m³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Equation 10.23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 canónico del cálculo de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A1;A2;A3;B1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Fracción de la corriente asignada manejada por el sistema (AWMS)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dimensionless</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IPCC 2019 Refinement Volume 4 Chapter 10 Equation 10.23</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biogénico del manejo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 nitroso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Óxidos de nitrógeno como NO2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Dióxido de carbono fósil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de caracterización EF 3.1</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 fósil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Comisión Europea, JRC (2023), Environmental Footprint 3.1</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CO₂-eq</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Consumo de electricidad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0,0415</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CO₂-eq/kWh</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4, Uso de electricidad</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CO₂</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general por combustible</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2,613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3, Sector energía: Dióxido de carbono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CH₄</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0,382</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CH₄/L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3, Sector energía: Metano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 IMN por actividad</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Diésel: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Residencial y agrícola/Diésel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0,0244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g N₂O/L</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IMN, portada 16.ª edición, 2026; interiores 15a edición / 2025, p. 4, Sector energía: Óxido nitroso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N₂O-N a N₂O</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1,5714</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N₂O/kg N₂O-N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 a NH₃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1,2143</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NH₃/kg NH₃-N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r>
        <w:trPr>
          <w:cantSplit/>
        </w:trPr>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Conversión estequiométrica de N a NO₃⁻</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4,4286</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NO₃⁻-/kg N</w:t>
            </w:r>
          </w:p>
        </w:tc>
        <w:tc>
          <w:tcPr>
            <w:tcW w:type="dxa" w:w="15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Cálculo estequiométrico</w:t>
            </w:r>
          </w:p>
        </w:tc>
      </w:tr>
    </w:tbl>
    <w:p>
      <w:pPr>
        <w:pStyle w:val="Rótuloacadémico"/>
      </w:pPr>
      <w:r>
        <w:rPr>
          <w:rFonts w:ascii="Times New Roman" w:hAnsi="Times New Roman"/>
          <w:b/>
          <w:color w:val="000000"/>
        </w:rPr>
        <w:t>Tabla R5</w:t>
      </w:r>
    </w:p>
    <w:p>
      <w:pPr>
        <w:pStyle w:val="Descripciónacadémica"/>
      </w:pPr>
      <w:r>
        <w:rPr>
          <w:rFonts w:ascii="Times New Roman" w:hAnsi="Times New Roman"/>
          <w:i/>
          <w:color w:val="000000"/>
        </w:rPr>
        <w:t>Emisiones completas por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Sustancia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Emisión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Valor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Masa equivalente total</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8,1166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gestion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0,7133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0,3955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0,0151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desde manejo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21,167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1,7899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ruta hidrica de manejo y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3,8599</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17 525,1</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4,6314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gestion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0,4116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0,0062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desde manejo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0,0951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0,6622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ruta hidrica de manejo y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7 429,9686</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61,6233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gestion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0,1597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desde manejo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8,8106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ruta hidrica de manejo y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8 753,6252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entradas de N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0,3583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deposicion atmosferica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0,2725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0,1577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durante aplicacion al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14,4774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1,5201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lixiviacion o escorrentia desde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40,3916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259 326,1252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Metano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184,9956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gestion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volatilizacion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0,4794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desde manejo de estiercol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26,4497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0,0286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ruta hidrica de manejo y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26 278,7252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directo por entradas de N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1,0757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deposicion atmosferica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0,818</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indirecto por lixiviacion en suelos</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0,4733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Amoniaco durante aplicacion al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43,4617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Oxidos de nitrogeno reportados como NO2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4,5634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NO2/año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Nitrato por lixiviacion o escorrentia desde suelo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121,2573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276 851,2252</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0,0697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0,0045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0,0697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Combustión de diésel del tractor</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0,0045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bl>
    <w:p>
      <w:pPr>
        <w:pStyle w:val="Rótuloacadémico"/>
      </w:pPr>
      <w:r>
        <w:rPr>
          <w:rFonts w:ascii="Times New Roman" w:hAnsi="Times New Roman"/>
          <w:b/>
          <w:color w:val="000000"/>
        </w:rPr>
        <w:t>Tabla R6</w:t>
      </w:r>
    </w:p>
    <w:p>
      <w:pPr>
        <w:pStyle w:val="Descripciónacadémica"/>
      </w:pPr>
      <w:r>
        <w:rPr>
          <w:rFonts w:ascii="Times New Roman" w:hAnsi="Times New Roman"/>
          <w:i/>
          <w:color w:val="000000"/>
        </w:rPr>
        <w:t>Impactos completos por etapa.</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958"/>
        <w:gridCol w:w="958"/>
        <w:gridCol w:w="958"/>
        <w:gridCol w:w="958"/>
        <w:gridCol w:w="958"/>
        <w:gridCol w:w="958"/>
        <w:gridCol w:w="958"/>
        <w:gridCol w:w="958"/>
        <w:gridCol w:w="958"/>
        <w:gridCol w:w="958"/>
      </w:tblGrid>
      <w:tr>
        <w:trPr>
          <w:cantSplit/>
          <w:tblHeader w:val="true"/>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Etapa del sistema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Categoría de impacto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Sustancia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Emisión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 de emisión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Factor de caracterización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 del factor</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Resultado equivalente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 equivalente</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8,1166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219,1481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1,1239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306,8231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21,167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285,1193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1,7899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7,6248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21,167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1,9474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1,7899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0,6963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3,8599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0,8723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4,6314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125,0481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0,4178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114,0482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0,0951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0,6622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2,8212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0,0951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0,0087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0,6622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0,2576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61,6233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1 663,8291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0,1597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43,5957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8,8106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118,6787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0,0406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8,8106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0,8106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0,0095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0,0037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0,7884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215,2455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14,4774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195,0105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1,5201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6,4757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14,4774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1,3319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1,5201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0,5913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40,3916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9,1285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184,9956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4 994,8802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0,4794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130,8759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26,4497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356,2781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0,0286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0,122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26,4497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2,4334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0,0286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0,0111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2,3669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646,1754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43,4617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13,47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585,429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4,5634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19,4403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43,4617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0,092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NH₃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3,9985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4,5634</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0,389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NOx como NO₂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1,7752</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121,2573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0,226</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N-eq/kg NO₃⁻</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27,4041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A1: Precomposteo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A2: Lombricompostaje</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A3: Almacenamiento de aguas verdes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2,209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0,0697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2,0775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1,2167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A4: Aplicación de aguas verdes en campos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B1: Almacenamiento de purines</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2,209</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CO₂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CO₂</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476,8725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CH₄ fósil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0,0697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29,8</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CH₄</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2,0775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N₂O (diésel)</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0,0045</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kg/año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273</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CO₂-eq/kg N₂O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1,2167</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r>
        <w:trPr>
          <w:cantSplit/>
        </w:trPr>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B2: Aplicación de purines en campo de pastoreo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Electricidad operativa (IMN)</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no aplica</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0</w:t>
            </w:r>
          </w:p>
        </w:tc>
        <w:tc>
          <w:tcPr>
            <w:tcW w:type="dxa" w:w="958"/>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r>
    </w:tbl>
    <w:p>
      <w:pPr>
        <w:pStyle w:val="Rótuloacadémico"/>
      </w:pPr>
      <w:r>
        <w:rPr>
          <w:rFonts w:ascii="Times New Roman" w:hAnsi="Times New Roman"/>
          <w:b/>
          <w:color w:val="000000"/>
        </w:rPr>
        <w:t>Tabla R7</w:t>
      </w:r>
    </w:p>
    <w:p>
      <w:pPr>
        <w:pStyle w:val="Descripciónacadémica"/>
      </w:pPr>
      <w:r>
        <w:rPr>
          <w:rFonts w:ascii="Times New Roman" w:hAnsi="Times New Roman"/>
          <w:i/>
          <w:color w:val="000000"/>
        </w:rPr>
        <w:t>Impactos totales completos por escenario.</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197"/>
        <w:gridCol w:w="1197"/>
        <w:gridCol w:w="1197"/>
        <w:gridCol w:w="1197"/>
        <w:gridCol w:w="1197"/>
        <w:gridCol w:w="1197"/>
        <w:gridCol w:w="1197"/>
        <w:gridCol w:w="1197"/>
      </w:tblGrid>
      <w:tr>
        <w:trPr>
          <w:cantSplit/>
          <w:tblHeader w:val="true"/>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Categoría de impacto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Resultado total</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Manejo del estiércol, EF 3.1 (kg CO₂-eq/año)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Electricidad, IMN (kg CO₂-eq/año)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Diésel, IMN y EF 3.1 (kg CO₂-eq/año)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Recursos energéticos (kg CO₂-eq/año)</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3 170,1135</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2 687,7378</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2,209</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480,1667</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482,3757</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617,0517</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15,6483</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6 254,3071</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5 771,9315</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2,209</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480,1667</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482,3757</w:t>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961,2693</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r>
        <w:trPr>
          <w:cantSplit/>
        </w:trPr>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35,6223</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c>
          <w:tcPr>
            <w:tcW w:type="dxa" w:w="1197"/>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r>
          </w:p>
        </w:tc>
      </w:tr>
    </w:tbl>
    <w:p>
      <w:pPr>
        <w:pStyle w:val="Rótuloacadémico"/>
      </w:pPr>
      <w:r>
        <w:rPr>
          <w:rFonts w:ascii="Times New Roman" w:hAnsi="Times New Roman"/>
          <w:b/>
          <w:color w:val="000000"/>
        </w:rPr>
        <w:t>Tabla R8</w:t>
      </w:r>
    </w:p>
    <w:p>
      <w:pPr>
        <w:pStyle w:val="Descripciónacadémica"/>
      </w:pPr>
      <w:r>
        <w:rPr>
          <w:rFonts w:ascii="Times New Roman" w:hAnsi="Times New Roman"/>
          <w:i/>
          <w:color w:val="000000"/>
        </w:rPr>
        <w:t>Comparación completa de escenarios.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1369"/>
        <w:gridCol w:w="1369"/>
        <w:gridCol w:w="1369"/>
        <w:gridCol w:w="1369"/>
        <w:gridCol w:w="1369"/>
        <w:gridCol w:w="1369"/>
        <w:gridCol w:w="1369"/>
      </w:tblGrid>
      <w:tr>
        <w:trPr>
          <w:cantSplit/>
          <w:tblHeader w:val="true"/>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Categoría de impacto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B</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Unidad</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absoluta B − 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Diferencia porcentual B respecto a 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Escenario con mayor impacto</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Cambio climático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3 170,1135</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6 254,3071</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CO₂-eq/año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3 084,1936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97,2897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terrestre</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617,0517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961,2693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mol N-eq/año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344,2176</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55,7842</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r>
        <w:trPr>
          <w:cantSplit/>
        </w:trPr>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Eutrofización marina</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15,6483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35,6223</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kg N-eq/año</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19,974</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127,6427</w:t>
            </w:r>
          </w:p>
        </w:tc>
        <w:tc>
          <w:tcPr>
            <w:tcW w:type="dxa" w:w="1369"/>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B</w:t>
            </w:r>
          </w:p>
        </w:tc>
      </w:tr>
    </w:tbl>
    <w:p>
      <w:pPr>
        <w:pStyle w:val="Heading2"/>
      </w:pPr>
      <w:r>
        <w:rPr>
          <w:rFonts w:ascii="Times New Roman" w:hAnsi="Times New Roman"/>
          <w:color w:val="000000"/>
        </w:rPr>
        <w:t>Apéndice R9. Figuras complementarias</w:t>
      </w:r>
    </w:p>
    <w:p>
      <w:pPr>
        <w:spacing w:line="240" w:lineRule="auto" w:before="0" w:after="0"/>
        <w:ind w:left="100" w:firstLine="719"/>
        <w:jc w:val="both"/>
      </w:pPr>
      <w:r>
        <w:rPr>
          <w:rFonts w:ascii="Times New Roman" w:hAnsi="Times New Roman"/>
          <w:sz w:val="24"/>
        </w:rPr>
        <w:t>La Figura R1 complementa la caracterización de nitrógeno total; la Figura R2 complementa los flujos del inventario; la Figura R3 complementa las emisiones de N₂O; la Figura R4 complementa las emisiones de NH₃; la Figura R5 complementa las emisiones de NO₃⁻; la Figura R6 complementa las emisiones de CO₂; la Figura R7 complementa la comparación total de calentamiento global; y la Figura R8 complementa la comparación total de eutrofización.</w:t>
      </w:r>
    </w:p>
    <w:p>
      <w:pPr>
        <w:pStyle w:val="Rótuloacadémico"/>
      </w:pPr>
      <w:r>
        <w:rPr>
          <w:rFonts w:ascii="Times New Roman" w:hAnsi="Times New Roman"/>
          <w:b/>
          <w:color w:val="000000"/>
        </w:rPr>
        <w:t>Figura R1</w:t>
      </w:r>
    </w:p>
    <w:p>
      <w:pPr>
        <w:pStyle w:val="Descripciónacadémica"/>
      </w:pPr>
      <w:r>
        <w:rPr>
          <w:rFonts w:ascii="Times New Roman" w:hAnsi="Times New Roman"/>
          <w:i/>
          <w:color w:val="000000"/>
        </w:rPr>
        <w:t>Nitrógeno total promedio por tipo de muestra.</w:t>
      </w:r>
    </w:p>
    <w:p>
      <w:pPr>
        <w:ind w:left="0" w:firstLine="0"/>
        <w:jc w:val="center"/>
      </w:pPr>
      <w:r>
        <w:drawing>
          <wp:inline xmlns:a="http://schemas.openxmlformats.org/drawingml/2006/main" xmlns:pic="http://schemas.openxmlformats.org/drawingml/2006/picture">
            <wp:extent cx="5669280" cy="3962194"/>
            <wp:docPr id="8" name="Picture 8"/>
            <wp:cNvGraphicFramePr>
              <a:graphicFrameLocks noChangeAspect="1"/>
            </wp:cNvGraphicFramePr>
            <a:graphic>
              <a:graphicData uri="http://schemas.openxmlformats.org/drawingml/2006/picture">
                <pic:pic>
                  <pic:nvPicPr>
                    <pic:cNvPr id="0" name="fig_03_caracterizacion_nitrogeno_total.png"/>
                    <pic:cNvPicPr/>
                  </pic:nvPicPr>
                  <pic:blipFill>
                    <a:blip r:embed="rId17"/>
                    <a:stretch>
                      <a:fillRect/>
                    </a:stretch>
                  </pic:blipFill>
                  <pic:spPr>
                    <a:xfrm>
                      <a:off x="0" y="0"/>
                      <a:ext cx="5669280" cy="3962194"/>
                    </a:xfrm>
                    <a:prstGeom prst="rect"/>
                  </pic:spPr>
                </pic:pic>
              </a:graphicData>
            </a:graphic>
          </wp:inline>
        </w:drawing>
      </w:r>
    </w:p>
    <w:p>
      <w:pPr>
        <w:pStyle w:val="Rótuloacadémico"/>
      </w:pPr>
      <w:r>
        <w:rPr>
          <w:rFonts w:ascii="Times New Roman" w:hAnsi="Times New Roman"/>
          <w:b/>
          <w:color w:val="000000"/>
        </w:rPr>
        <w:t>Figura R2</w:t>
      </w:r>
    </w:p>
    <w:p>
      <w:pPr>
        <w:pStyle w:val="Descripciónacadémica"/>
      </w:pPr>
      <w:r>
        <w:rPr>
          <w:rFonts w:ascii="Times New Roman" w:hAnsi="Times New Roman"/>
          <w:i/>
          <w:color w:val="000000"/>
        </w:rPr>
        <w:t>Distribución de componentes del inventario por etapa.</w:t>
      </w:r>
    </w:p>
    <w:p>
      <w:pPr>
        <w:ind w:left="0" w:firstLine="0"/>
        <w:jc w:val="center"/>
      </w:pPr>
      <w:r>
        <w:drawing>
          <wp:inline xmlns:a="http://schemas.openxmlformats.org/drawingml/2006/main" xmlns:pic="http://schemas.openxmlformats.org/drawingml/2006/picture">
            <wp:extent cx="5669280" cy="4331138"/>
            <wp:docPr id="9" name="Picture 9"/>
            <wp:cNvGraphicFramePr>
              <a:graphicFrameLocks noChangeAspect="1"/>
            </wp:cNvGraphicFramePr>
            <a:graphic>
              <a:graphicData uri="http://schemas.openxmlformats.org/drawingml/2006/picture">
                <pic:pic>
                  <pic:nvPicPr>
                    <pic:cNvPr id="0" name="fig_05_flujos_distribucion_componentes.png"/>
                    <pic:cNvPicPr/>
                  </pic:nvPicPr>
                  <pic:blipFill>
                    <a:blip r:embed="rId18"/>
                    <a:stretch>
                      <a:fillRect/>
                    </a:stretch>
                  </pic:blipFill>
                  <pic:spPr>
                    <a:xfrm>
                      <a:off x="0" y="0"/>
                      <a:ext cx="5669280" cy="4331138"/>
                    </a:xfrm>
                    <a:prstGeom prst="rect"/>
                  </pic:spPr>
                </pic:pic>
              </a:graphicData>
            </a:graphic>
          </wp:inline>
        </w:drawing>
      </w:r>
    </w:p>
    <w:p>
      <w:pPr>
        <w:pStyle w:val="Rótuloacadémico"/>
      </w:pPr>
      <w:r>
        <w:rPr>
          <w:rFonts w:ascii="Times New Roman" w:hAnsi="Times New Roman"/>
          <w:b/>
          <w:color w:val="000000"/>
        </w:rPr>
        <w:t>Figura R3</w:t>
      </w:r>
    </w:p>
    <w:p>
      <w:pPr>
        <w:pStyle w:val="Descripciónacadémica"/>
      </w:pPr>
      <w:r>
        <w:rPr>
          <w:rFonts w:ascii="Times New Roman" w:hAnsi="Times New Roman"/>
          <w:i/>
          <w:color w:val="000000"/>
        </w:rPr>
        <w:t>Emisiones anuales de N₂O por etapa y escenario.</w:t>
      </w:r>
    </w:p>
    <w:p>
      <w:pPr>
        <w:ind w:left="0" w:firstLine="0"/>
        <w:jc w:val="center"/>
      </w:pPr>
      <w:r>
        <w:drawing>
          <wp:inline xmlns:a="http://schemas.openxmlformats.org/drawingml/2006/main" xmlns:pic="http://schemas.openxmlformats.org/drawingml/2006/picture">
            <wp:extent cx="5669280" cy="3169873"/>
            <wp:docPr id="10" name="Picture 10"/>
            <wp:cNvGraphicFramePr>
              <a:graphicFrameLocks noChangeAspect="1"/>
            </wp:cNvGraphicFramePr>
            <a:graphic>
              <a:graphicData uri="http://schemas.openxmlformats.org/drawingml/2006/picture">
                <pic:pic>
                  <pic:nvPicPr>
                    <pic:cNvPr id="0" name="fig_07_emisiones_n2o.png"/>
                    <pic:cNvPicPr/>
                  </pic:nvPicPr>
                  <pic:blipFill>
                    <a:blip r:embed="rId19"/>
                    <a:stretch>
                      <a:fillRect/>
                    </a:stretch>
                  </pic:blipFill>
                  <pic:spPr>
                    <a:xfrm>
                      <a:off x="0" y="0"/>
                      <a:ext cx="5669280" cy="3169873"/>
                    </a:xfrm>
                    <a:prstGeom prst="rect"/>
                  </pic:spPr>
                </pic:pic>
              </a:graphicData>
            </a:graphic>
          </wp:inline>
        </w:drawing>
      </w:r>
    </w:p>
    <w:p>
      <w:pPr>
        <w:pStyle w:val="Rótuloacadémico"/>
      </w:pPr>
      <w:r>
        <w:rPr>
          <w:rFonts w:ascii="Times New Roman" w:hAnsi="Times New Roman"/>
          <w:b/>
          <w:color w:val="000000"/>
        </w:rPr>
        <w:t>Figura R4</w:t>
      </w:r>
    </w:p>
    <w:p>
      <w:pPr>
        <w:pStyle w:val="Descripciónacadémica"/>
      </w:pPr>
      <w:r>
        <w:rPr>
          <w:rFonts w:ascii="Times New Roman" w:hAnsi="Times New Roman"/>
          <w:i/>
          <w:color w:val="000000"/>
        </w:rPr>
        <w:t>Emisiones anuales de NH₃ por etapa y escenario.</w:t>
      </w:r>
    </w:p>
    <w:p>
      <w:pPr>
        <w:ind w:left="0" w:firstLine="0"/>
        <w:jc w:val="center"/>
      </w:pPr>
      <w:r>
        <w:drawing>
          <wp:inline xmlns:a="http://schemas.openxmlformats.org/drawingml/2006/main" xmlns:pic="http://schemas.openxmlformats.org/drawingml/2006/picture">
            <wp:extent cx="5669280" cy="3168644"/>
            <wp:docPr id="11" name="Picture 11"/>
            <wp:cNvGraphicFramePr>
              <a:graphicFrameLocks noChangeAspect="1"/>
            </wp:cNvGraphicFramePr>
            <a:graphic>
              <a:graphicData uri="http://schemas.openxmlformats.org/drawingml/2006/picture">
                <pic:pic>
                  <pic:nvPicPr>
                    <pic:cNvPr id="0" name="fig_08_emisiones_nh3.png"/>
                    <pic:cNvPicPr/>
                  </pic:nvPicPr>
                  <pic:blipFill>
                    <a:blip r:embed="rId20"/>
                    <a:stretch>
                      <a:fillRect/>
                    </a:stretch>
                  </pic:blipFill>
                  <pic:spPr>
                    <a:xfrm>
                      <a:off x="0" y="0"/>
                      <a:ext cx="5669280" cy="3168644"/>
                    </a:xfrm>
                    <a:prstGeom prst="rect"/>
                  </pic:spPr>
                </pic:pic>
              </a:graphicData>
            </a:graphic>
          </wp:inline>
        </w:drawing>
      </w:r>
    </w:p>
    <w:p>
      <w:pPr>
        <w:pStyle w:val="Rótuloacadémico"/>
      </w:pPr>
      <w:r>
        <w:rPr>
          <w:rFonts w:ascii="Times New Roman" w:hAnsi="Times New Roman"/>
          <w:b/>
          <w:color w:val="000000"/>
        </w:rPr>
        <w:t>Figura R5</w:t>
      </w:r>
    </w:p>
    <w:p>
      <w:pPr>
        <w:pStyle w:val="Descripciónacadémica"/>
      </w:pPr>
      <w:r>
        <w:rPr>
          <w:rFonts w:ascii="Times New Roman" w:hAnsi="Times New Roman"/>
          <w:i/>
          <w:color w:val="000000"/>
        </w:rPr>
        <w:t>Emisiones anuales de NO₃⁻ por etapa y escenario.</w:t>
      </w:r>
    </w:p>
    <w:p>
      <w:pPr>
        <w:ind w:left="0" w:firstLine="0"/>
        <w:jc w:val="center"/>
      </w:pPr>
      <w:r>
        <w:drawing>
          <wp:inline xmlns:a="http://schemas.openxmlformats.org/drawingml/2006/main" xmlns:pic="http://schemas.openxmlformats.org/drawingml/2006/picture">
            <wp:extent cx="5669280" cy="3169873"/>
            <wp:docPr id="12" name="Picture 12"/>
            <wp:cNvGraphicFramePr>
              <a:graphicFrameLocks noChangeAspect="1"/>
            </wp:cNvGraphicFramePr>
            <a:graphic>
              <a:graphicData uri="http://schemas.openxmlformats.org/drawingml/2006/picture">
                <pic:pic>
                  <pic:nvPicPr>
                    <pic:cNvPr id="0" name="fig_09_emisiones_no3.png"/>
                    <pic:cNvPicPr/>
                  </pic:nvPicPr>
                  <pic:blipFill>
                    <a:blip r:embed="rId21"/>
                    <a:stretch>
                      <a:fillRect/>
                    </a:stretch>
                  </pic:blipFill>
                  <pic:spPr>
                    <a:xfrm>
                      <a:off x="0" y="0"/>
                      <a:ext cx="5669280" cy="3169873"/>
                    </a:xfrm>
                    <a:prstGeom prst="rect"/>
                  </pic:spPr>
                </pic:pic>
              </a:graphicData>
            </a:graphic>
          </wp:inline>
        </w:drawing>
      </w:r>
    </w:p>
    <w:p>
      <w:pPr>
        <w:pStyle w:val="Rótuloacadémico"/>
      </w:pPr>
      <w:r>
        <w:rPr>
          <w:rFonts w:ascii="Times New Roman" w:hAnsi="Times New Roman"/>
          <w:b/>
          <w:color w:val="000000"/>
        </w:rPr>
        <w:t>Figura R6</w:t>
      </w:r>
    </w:p>
    <w:p>
      <w:pPr>
        <w:pStyle w:val="Descripciónacadémica"/>
      </w:pPr>
      <w:r>
        <w:rPr>
          <w:rFonts w:ascii="Times New Roman" w:hAnsi="Times New Roman"/>
          <w:i/>
          <w:color w:val="000000"/>
        </w:rPr>
        <w:t>Emisiones anuales de CO₂ por etapa y escenario.</w:t>
      </w:r>
    </w:p>
    <w:p>
      <w:pPr>
        <w:ind w:left="0" w:firstLine="0"/>
        <w:jc w:val="center"/>
      </w:pPr>
      <w:r>
        <w:drawing>
          <wp:inline xmlns:a="http://schemas.openxmlformats.org/drawingml/2006/main" xmlns:pic="http://schemas.openxmlformats.org/drawingml/2006/picture">
            <wp:extent cx="5669280" cy="3169873"/>
            <wp:docPr id="13" name="Picture 13"/>
            <wp:cNvGraphicFramePr>
              <a:graphicFrameLocks noChangeAspect="1"/>
            </wp:cNvGraphicFramePr>
            <a:graphic>
              <a:graphicData uri="http://schemas.openxmlformats.org/drawingml/2006/picture">
                <pic:pic>
                  <pic:nvPicPr>
                    <pic:cNvPr id="0" name="fig_10_emisiones_co2.png"/>
                    <pic:cNvPicPr/>
                  </pic:nvPicPr>
                  <pic:blipFill>
                    <a:blip r:embed="rId22"/>
                    <a:stretch>
                      <a:fillRect/>
                    </a:stretch>
                  </pic:blipFill>
                  <pic:spPr>
                    <a:xfrm>
                      <a:off x="0" y="0"/>
                      <a:ext cx="5669280" cy="3169873"/>
                    </a:xfrm>
                    <a:prstGeom prst="rect"/>
                  </pic:spPr>
                </pic:pic>
              </a:graphicData>
            </a:graphic>
          </wp:inline>
        </w:drawing>
      </w:r>
    </w:p>
    <w:p>
      <w:pPr>
        <w:pStyle w:val="Rótuloacadémico"/>
      </w:pPr>
      <w:r>
        <w:rPr>
          <w:rFonts w:ascii="Times New Roman" w:hAnsi="Times New Roman"/>
          <w:b/>
          <w:color w:val="000000"/>
        </w:rPr>
        <w:t>Figura R7</w:t>
      </w:r>
    </w:p>
    <w:p>
      <w:pPr>
        <w:pStyle w:val="Descripciónacadémica"/>
      </w:pPr>
      <w:r>
        <w:rPr>
          <w:rFonts w:ascii="Times New Roman" w:hAnsi="Times New Roman"/>
          <w:i/>
          <w:color w:val="000000"/>
        </w:rPr>
        <w:t>Comparación del cambio climático total entre escenarios.</w:t>
      </w:r>
    </w:p>
    <w:p>
      <w:pPr>
        <w:ind w:left="0" w:firstLine="0"/>
        <w:jc w:val="center"/>
      </w:pPr>
      <w:r>
        <w:drawing>
          <wp:inline xmlns:a="http://schemas.openxmlformats.org/drawingml/2006/main" xmlns:pic="http://schemas.openxmlformats.org/drawingml/2006/picture">
            <wp:extent cx="5669280" cy="4085781"/>
            <wp:docPr id="14" name="Picture 14"/>
            <wp:cNvGraphicFramePr>
              <a:graphicFrameLocks noChangeAspect="1"/>
            </wp:cNvGraphicFramePr>
            <a:graphic>
              <a:graphicData uri="http://schemas.openxmlformats.org/drawingml/2006/picture">
                <pic:pic>
                  <pic:nvPicPr>
                    <pic:cNvPr id="0" name="fig_14_comparacion_total_cambio_climatico.png"/>
                    <pic:cNvPicPr/>
                  </pic:nvPicPr>
                  <pic:blipFill>
                    <a:blip r:embed="rId23"/>
                    <a:stretch>
                      <a:fillRect/>
                    </a:stretch>
                  </pic:blipFill>
                  <pic:spPr>
                    <a:xfrm>
                      <a:off x="0" y="0"/>
                      <a:ext cx="5669280" cy="4085781"/>
                    </a:xfrm>
                    <a:prstGeom prst="rect"/>
                  </pic:spPr>
                </pic:pic>
              </a:graphicData>
            </a:graphic>
          </wp:inline>
        </w:drawing>
      </w:r>
    </w:p>
    <w:p>
      <w:pPr>
        <w:pStyle w:val="Rótuloacadémico"/>
      </w:pPr>
      <w:r>
        <w:rPr>
          <w:rFonts w:ascii="Times New Roman" w:hAnsi="Times New Roman"/>
          <w:b/>
          <w:color w:val="000000"/>
        </w:rPr>
        <w:t>Figura R8</w:t>
      </w:r>
    </w:p>
    <w:p>
      <w:pPr>
        <w:pStyle w:val="Descripciónacadémica"/>
      </w:pPr>
      <w:r>
        <w:rPr>
          <w:rFonts w:ascii="Times New Roman" w:hAnsi="Times New Roman"/>
          <w:i/>
          <w:color w:val="000000"/>
        </w:rPr>
        <w:t>Comparación de la eutrofización marina total entre escenarios.</w:t>
      </w:r>
    </w:p>
    <w:p>
      <w:pPr>
        <w:ind w:left="0" w:firstLine="0"/>
        <w:jc w:val="center"/>
      </w:pPr>
      <w:r>
        <w:drawing>
          <wp:inline xmlns:a="http://schemas.openxmlformats.org/drawingml/2006/main" xmlns:pic="http://schemas.openxmlformats.org/drawingml/2006/picture">
            <wp:extent cx="5669280" cy="4080700"/>
            <wp:docPr id="15" name="Picture 15"/>
            <wp:cNvGraphicFramePr>
              <a:graphicFrameLocks noChangeAspect="1"/>
            </wp:cNvGraphicFramePr>
            <a:graphic>
              <a:graphicData uri="http://schemas.openxmlformats.org/drawingml/2006/picture">
                <pic:pic>
                  <pic:nvPicPr>
                    <pic:cNvPr id="0" name="fig_16_comparacion_total_eutrofizacion_marina.png"/>
                    <pic:cNvPicPr/>
                  </pic:nvPicPr>
                  <pic:blipFill>
                    <a:blip r:embed="rId24"/>
                    <a:stretch>
                      <a:fillRect/>
                    </a:stretch>
                  </pic:blipFill>
                  <pic:spPr>
                    <a:xfrm>
                      <a:off x="0" y="0"/>
                      <a:ext cx="5669280" cy="4080700"/>
                    </a:xfrm>
                    <a:prstGeom prst="rect"/>
                  </pic:spPr>
                </pic:pic>
              </a:graphicData>
            </a:graphic>
          </wp:inline>
        </w:drawing>
      </w:r>
    </w:p>
    <w:p>
      <w:pPr>
        <w:pStyle w:val="Heading2"/>
      </w:pPr>
      <w:r>
        <w:rPr>
          <w:rFonts w:ascii="Times New Roman" w:hAnsi="Times New Roman"/>
          <w:color w:val="000000"/>
        </w:rPr>
        <w:t>Apéndice R10. Correspondencia entre tablas, figuras y archivos fuente</w:t>
      </w:r>
    </w:p>
    <w:p>
      <w:pPr>
        <w:spacing w:line="240" w:lineRule="auto" w:before="0" w:after="0"/>
        <w:ind w:left="100" w:firstLine="719"/>
        <w:jc w:val="both"/>
      </w:pPr>
      <w:r>
        <w:rPr>
          <w:rFonts w:ascii="Times New Roman" w:hAnsi="Times New Roman"/>
          <w:sz w:val="24"/>
        </w:rPr>
        <w:t>La Tabla R10 resume la correspondencia académica entre contenidos, bases de información y figuras utilizadas en el documento.</w:t>
      </w:r>
    </w:p>
    <w:p>
      <w:pPr>
        <w:pStyle w:val="Rótuloacadémico"/>
      </w:pPr>
      <w:r>
        <w:rPr>
          <w:rFonts w:ascii="Times New Roman" w:hAnsi="Times New Roman"/>
          <w:b/>
          <w:color w:val="000000"/>
        </w:rPr>
        <w:t>Tabla R10</w:t>
      </w:r>
    </w:p>
    <w:p>
      <w:pPr>
        <w:pStyle w:val="Descripciónacadémica"/>
      </w:pPr>
      <w:r>
        <w:rPr>
          <w:rFonts w:ascii="Times New Roman" w:hAnsi="Times New Roman"/>
          <w:i/>
          <w:color w:val="000000"/>
        </w:rPr>
        <w:t>Correspondencia de insumos usados.</w:t>
      </w:r>
    </w:p>
    <w:tbl>
      <w:tblPr>
        <w:tblW w:type="auto" w:w="0"/>
        <w:tblLayout w:type="autofit"/>
        <w:tblLook w:firstColumn="1" w:firstRow="1" w:lastColumn="0" w:lastRow="0" w:noHBand="0" w:noVBand="1" w:val="04A0"/>
        <w:jc w:val="center"/>
        <w:tblBorders>
          <w:top w:val="single" w:sz="4" w:space="0" w:color="808080"/>
          <w:bottom w:val="single" w:sz="4" w:space="0" w:color="808080"/>
          <w:insideH w:val="single" w:sz="4" w:space="0" w:color="808080"/>
          <w:left w:val="nil"/>
          <w:right w:val="nil"/>
          <w:insideV w:val="nil"/>
        </w:tblBorders>
      </w:tblPr>
      <w:tblGrid>
        <w:gridCol w:w="3193"/>
        <w:gridCol w:w="3193"/>
        <w:gridCol w:w="3193"/>
      </w:tblGrid>
      <w:tr>
        <w:trPr>
          <w:cantSplit/>
          <w:tblHeader w:val="true"/>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Contenido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Base de información</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sz w:val="24"/>
              </w:rPr>
              <w:t>Tablas o figuras relacionadas</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de muestras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Caracterización fisicoquímica de materiales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Figuras 1, 2 y R1</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Flujos del ICV</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Inventario de flujos por escenario y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Figuras 3 y R2</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Parámetros del modelo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Parámetros principales del modelo ACV</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Tabla 3</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Factores de emisión y caracterización</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Apéndice R4</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Emisiones estimadas por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Figuras 4, R3, R4, R5 y R6</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Impactos por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Impactos ambientales por etapa</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Figuras 5 y 6</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Impactos totales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Impactos agregados por escenario</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Figuras R7 y R8</w:t>
            </w:r>
          </w:p>
        </w:tc>
      </w:tr>
      <w:tr>
        <w:trPr>
          <w:cantSplit/>
        </w:trPr>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Comparación de escenarios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Comparación ambiental entre escenarios</w:t>
            </w:r>
          </w:p>
        </w:tc>
        <w:tc>
          <w:tcPr>
            <w:tcW w:type="dxa" w:w="3193"/>
            <w:vAlign w:val="center"/>
            <w:tcMar>
              <w:top w:w="72" w:type="dxa"/>
              <w:left w:w="72" w:type="dxa"/>
              <w:bottom w:w="72" w:type="dxa"/>
              <w:right w:w="72" w:type="dxa"/>
            </w:tcMar>
          </w:tcPr>
          <w:p>
            <w:pPr>
              <w:spacing w:line="240" w:lineRule="auto" w:before="0" w:after="0"/>
              <w:ind w:left="0" w:firstLine="0"/>
              <w:jc w:val="center"/>
            </w:pPr>
            <w:r>
              <w:rPr>
                <w:rFonts w:ascii="Times New Roman" w:hAnsi="Times New Roman"/>
                <w:b w:val="0"/>
                <w:sz w:val="24"/>
              </w:rPr>
              <w:t>Figura 7</w:t>
            </w:r>
          </w:p>
        </w:tc>
      </w:tr>
    </w:tbl>
    <w:sectPr w:rsidR="00FC693F" w:rsidRPr="0006063C" w:rsidSect="00034616">
      <w:headerReference w:type="default" r:id="rId9"/>
      <w:pgSz w:w="12240" w:h="15840"/>
      <w:pgMar w:top="1500" w:right="1320" w:bottom="280" w:left="13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PROVISIONAL M1–M2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ind w:left="100" w:firstLine="71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ind w:left="0" w:firstLine="0"/>
      <w:jc w:val="both"/>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ind w:left="0" w:firstLine="0"/>
      <w:jc w:val="both"/>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ind w:left="0" w:firstLine="0"/>
      <w:jc w:val="both"/>
      <w:outlineLvl w:val="2"/>
    </w:pPr>
    <w:rPr>
      <w:rFonts w:asciiTheme="majorHAnsi" w:eastAsiaTheme="majorEastAsia" w:hAnsiTheme="majorHAnsi" w:cstheme="majorBidi" w:ascii="Times New Roman" w:hAnsi="Times New Roman" w:eastAsia="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ind w:left="0" w:firstLine="0"/>
      <w:contextualSpacing/>
      <w:jc w:val="center"/>
    </w:pPr>
    <w:rPr>
      <w:rFonts w:asciiTheme="majorHAnsi" w:eastAsiaTheme="majorEastAsia" w:hAnsiTheme="majorHAnsi" w:cstheme="majorBidi" w:ascii="Times New Roman" w:hAnsi="Times New Roman" w:eastAsia="Times New Roman"/>
      <w:b w:val="0"/>
      <w:i/>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académico">
    <w:name w:val="Rótulo académico"/>
    <w:pPr>
      <w:spacing w:before="120" w:after="0"/>
      <w:ind w:left="0" w:firstLine="0"/>
      <w:jc w:val="both"/>
    </w:pPr>
    <w:rPr>
      <w:rFonts w:ascii="Times New Roman" w:hAnsi="Times New Roman" w:eastAsia="Times New Roman"/>
      <w:b/>
      <w:i w:val="0"/>
      <w:color w:val="000000"/>
      <w:sz w:val="24"/>
    </w:rPr>
  </w:style>
  <w:style w:type="paragraph" w:customStyle="1" w:styleId="Descripciónacadémica">
    <w:name w:val="Descripción académica"/>
    <w:pPr>
      <w:spacing w:before="0" w:after="120"/>
      <w:ind w:left="0" w:firstLine="0"/>
      <w:jc w:val="both"/>
    </w:pPr>
    <w:rPr>
      <w:rFonts w:ascii="Times New Roman" w:hAnsi="Times New Roman" w:eastAsia="Times New Roman"/>
      <w:b w:val="0"/>
      <w:i/>
      <w:color w:val="00000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