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spacing w:line="240" w:lineRule="auto" w:before="0" w:after="0"/>
        <w:ind w:left="100" w:firstLine="719"/>
        <w:jc w:val="both"/>
      </w:pPr>
      <w:r>
        <w:rPr>
          <w:rFonts w:ascii="Times New Roman" w:hAnsi="Times New Roman"/>
          <w:sz w:val="24"/>
        </w:rPr>
        <w:t>Apéndice F. Trazabilidad de la verificación independiente Python–SimaPro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spacing w:line="240" w:lineRule="auto" w:before="0" w:after="0"/>
        <w:ind w:left="100" w:firstLine="719"/>
        <w:jc w:val="both"/>
      </w:pPr>
      <w:r>
        <w:rPr>
          <w:rFonts w:ascii="Times New Roman" w:hAnsi="Times New Roman"/>
          <w:sz w:val="24"/>
        </w:rPr>
        <w:t>El contraste provisional se realizó sobre dos bases. Para A1 se comparó el N residual modelado después del precomposteo con una referencia derivada del N medido en el precompostado, convertido a base húmeda y multiplicado por la masa húmeda inferida de A2. Para A3 y B1 se comparó la concentración de N propagado, expresada sobre la mezcla anual teórica de estiércol y agua de lavado, con la concentración de N total medida en M2 para aguas verdes y purines, respectivamente.</w:t>
      </w:r>
    </w:p>
    <w:p>
      <w:pPr>
        <w:spacing w:line="240" w:lineRule="auto" w:before="0" w:after="0"/>
        <w:ind w:left="100" w:firstLine="719"/>
        <w:jc w:val="both"/>
      </w:pPr>
      <w:r>
        <w:rPr>
          <w:rFonts w:ascii="Times New Roman" w:hAnsi="Times New Roman"/>
          <w:sz w:val="24"/>
        </w:rPr>
        <w:t>En los tres casos, la diferencia absoluta se calculó como estimación modelada menos referencia. La diferencia relativa utilizó la referencia como denominador y se expresó en porcentaje. La diferencia absoluta de A1 se expresó en kg N/año; en los líquidos se expresó en puntos porcentuales de N. Los cálculos conservaron la precisión interna y la presentación se redondeó a una decimal para masas y diferencias relativas, y a cuatro decimales para las concentraciones pequeñas y sus diferencias; estos cuatro decimales permiten distinguir las magnitudes comparadas, pero no representan mayor precisión analítica formal de las mediciones del CIA. Estas comparaciones examinan la plausibilidad del balance, pero no constituyen balances experimentales cerrados ni una validación experimental de los factores IPCC–EMEP/EEA.</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pPr>
        <w:spacing w:line="240" w:lineRule="auto" w:before="0" w:after="0"/>
        <w:ind w:left="100" w:firstLine="719"/>
        <w:jc w:val="both"/>
      </w:pPr>
      <w:r>
        <w:rPr>
          <w:rFonts w:ascii="Times New Roman" w:hAnsi="Times New Roman"/>
          <w:sz w:val="24"/>
        </w:rP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procesos unitarios independientes para esos dos flujos.</w:t>
      </w:r>
    </w:p>
    <w:p>
      <w:pPr>
        <w:spacing w:line="240" w:lineRule="auto" w:before="0" w:after="0"/>
        <w:ind w:left="100" w:firstLine="719"/>
        <w:jc w:val="both"/>
      </w:pPr>
      <w:r>
        <w:rPr>
          <w:rFonts w:ascii="Times New Roman" w:hAnsi="Times New Roman"/>
          <w:sz w:val="24"/>
        </w:rP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 y C–H reservaron, respectivamente, diferencias de versión o configuración, identidad del flujo, compartimento, unidad o conversión, ausencia de correspondencia verificable y discrepancia no resuelta.</w:t>
      </w:r>
    </w:p>
    <w:p>
      <w:pPr>
        <w:spacing w:line="240" w:lineRule="auto" w:before="0" w:after="0"/>
        <w:ind w:left="100" w:firstLine="719"/>
        <w:jc w:val="both"/>
      </w:pPr>
      <w:r>
        <w:rPr>
          <w:rFonts w:ascii="Times New Roman" w:hAnsi="Times New Roman"/>
          <w:sz w:val="24"/>
        </w:rPr>
        <w:t>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el ejercicio conserva carácter PROVISIONAL M1–M2.</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3"/>
      </w:pPr>
      <w:r>
        <w:rPr>
          <w:rFonts w:ascii="Times New Roman" w:hAnsi="Times New Roman"/>
          <w:color w:val="000000"/>
        </w:rPr>
        <w:t>5.1.1 Contraste provisional del nitrógeno experimental con el balance modelado</w:t>
      </w:r>
    </w:p>
    <w:p>
      <w:pPr>
        <w:spacing w:line="240" w:lineRule="auto" w:before="0" w:after="0"/>
        <w:ind w:left="100" w:firstLine="719"/>
        <w:jc w:val="both"/>
      </w:pPr>
      <w:r>
        <w:rPr>
          <w:rFonts w:ascii="Times New Roman" w:hAnsi="Times New Roman"/>
          <w:sz w:val="24"/>
        </w:rPr>
        <w:t>La Tabla 7 compara las referencias experimentales o derivadas con las estimaciones del balance secuencial. Una diferencia positiva indica que el modelo supera la referencia, una negativa indica que es inferior y cero señala que no hay diferencia visible con el redondeo adoptado.</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Contraste provisional del N experimental con el balance modelado.</w:t>
      </w:r>
    </w:p>
    <w:tbl>
      <w:tblPr>
        <w:tblW w:type="auto" w:w="0"/>
        <w:jc w:val="center"/>
        <w:tblLayout w:type="fixed"/>
        <w:tblLook w:firstColumn="1" w:firstRow="1" w:lastColumn="0" w:lastRow="0" w:noHBand="0" w:noVBand="1" w:val="04A0"/>
      </w:tblPr>
      <w:tblGrid>
        <w:gridCol w:w="1916"/>
        <w:gridCol w:w="1916"/>
        <w:gridCol w:w="1916"/>
        <w:gridCol w:w="1916"/>
        <w:gridCol w:w="1916"/>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Contraste</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Referencia experimental o derivada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Estimación modelada</w:t>
            </w:r>
          </w:p>
        </w:tc>
        <w:tc>
          <w:tcPr>
            <w:tcW w:type="dxa" w:w="223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absoluta (modelo − referencia)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relativa</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A1: N residual después del precomposteo</w:t>
            </w:r>
          </w:p>
        </w:tc>
        <w:tc>
          <w:tcPr>
            <w:tcW w:type="dxa" w:w="194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38,5 kg N/año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52,4 kg N/año</w:t>
            </w:r>
          </w:p>
        </w:tc>
        <w:tc>
          <w:tcPr>
            <w:tcW w:type="dxa" w:w="2232"/>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+13,9 kg N/año</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+36,2 %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A3→A4: Aguas verdes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0,0093 %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0,0147 %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+0,0054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+58,3 %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B1→B2: Purines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0,0139 %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0,0412 %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+0,0273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+195,7 %</w:t>
            </w:r>
          </w:p>
        </w:tc>
      </w:tr>
    </w:tbl>
    <w:p>
      <w:pPr>
        <w:pStyle w:val="Notadetabla"/>
      </w:pPr>
      <w:r>
        <w:rPr>
          <w:rFonts w:ascii="Times New Roman" w:hAnsi="Times New Roman"/>
          <w:b/>
        </w:rPr>
        <w:t xml:space="preserve">Nota. </w:t>
      </w:r>
      <w:r>
        <w:rPr>
          <w:rFonts w:ascii="Times New Roman" w:hAnsi="Times New Roman"/>
        </w:rPr>
        <w:t>La referencia de A1 es una masa de N derivada del análisis del precompostado y de la masa húmeda inferida de A2; no fue observada directamente. Para aguas verdes y purines, las referencias son concentraciones medidas en M2 y las concentraciones modeladas usan mezclas anuales teóricas, no descargas medidas. Las diferencias se calcularon con la precisión interna antes del redondeo visible; los cuatro decimales de las concentraciones permiten distinguir valores menores que 0,01 % N y no expresan mayor precisión analítica formal. Las diferencias no validan experimentalmente los factores IPCC–EMEP/EEA ni identifican una ruta específica de pérdida de N.</w:t>
      </w:r>
    </w:p>
    <w:p>
      <w:pPr>
        <w:spacing w:line="240" w:lineRule="auto" w:before="0" w:after="0"/>
        <w:ind w:left="100" w:firstLine="719"/>
        <w:jc w:val="both"/>
      </w:pPr>
      <w:r>
        <w:rPr>
          <w:rFonts w:ascii="Times New Roman" w:hAnsi="Times New Roman"/>
          <w:sz w:val="24"/>
        </w:rPr>
        <w:t>Después de A1, el modelo estimó 52,4 kg N/año, frente a una referencia derivada de 38,5 kg N/año. La diferencia modelo menos referencia fue +13,9 kg N/año, equivalente a +36,2 % de la referencia; con el redondeo adoptado, el modelo conservó más N residual que la referencia derivada.</w:t>
      </w:r>
    </w:p>
    <w:p>
      <w:pPr>
        <w:spacing w:line="240" w:lineRule="auto" w:before="0" w:after="0"/>
        <w:ind w:left="100" w:firstLine="719"/>
        <w:jc w:val="both"/>
      </w:pPr>
      <w:r>
        <w:rPr>
          <w:rFonts w:ascii="Times New Roman" w:hAnsi="Times New Roman"/>
          <w:sz w:val="24"/>
        </w:rPr>
        <w:t>En aguas verdes, la concentración modelada fue 0,0147 % N y la medida en M2 fue 0,0093 % N. La diferencia fue +0,0054 puntos porcentuales (+58,3 %); con el redondeo adoptado, la concentración modelada fue mayor que la medición M2. En purines, los valores respectivos fueron 0,0412 % N y 0,0139 % N, con una diferencia de +0,0273 puntos porcentuales (+195,7 %); la concentración modelada fue mayor que la medición M2.</w:t>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8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8.</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0,0000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9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10 presenta la magnitud anual y la Tabla 11 separa el cambio climático del manejo, la electricidad y el diésel. La Tabla 12 muestra los indicadores por unidad funcional. La Tabla 13 y la Figura 10 presentan la comparación entre escenarios bajo la misma base funcional.</w:t>
      </w:r>
    </w:p>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14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pStyle w:val="Heading2"/>
      </w:pPr>
      <w:r>
        <w:rPr>
          <w:rFonts w:ascii="Times New Roman" w:hAnsi="Times New Roman"/>
          <w:color w:val="000000"/>
        </w:rPr>
        <w:t>5.5 Resultados de la verificación independiente Python–SimaPro</w:t>
      </w:r>
    </w:p>
    <w:p>
      <w:pPr>
        <w:pStyle w:val="Heading3"/>
      </w:pPr>
      <w:r>
        <w:rPr>
          <w:rFonts w:ascii="Times New Roman" w:hAnsi="Times New Roman"/>
          <w:color w:val="000000"/>
        </w:rPr>
        <w:t>5.5.1 Comprobación de factores y casos unitarios</w:t>
      </w:r>
    </w:p>
    <w:p>
      <w:pPr>
        <w:spacing w:line="240" w:lineRule="auto" w:before="0" w:after="0"/>
        <w:ind w:left="100" w:firstLine="719"/>
        <w:jc w:val="both"/>
      </w:pPr>
      <w:r>
        <w:rPr>
          <w:rFonts w:ascii="Times New Roman" w:hAnsi="Times New Roman"/>
          <w:sz w:val="24"/>
        </w:rPr>
        <w:t>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quedó ninguna discrepancia científica sin resolver.</w:t>
      </w:r>
    </w:p>
    <w:p>
      <w:pPr>
        <w:spacing w:line="240" w:lineRule="auto" w:before="0" w:after="0"/>
        <w:ind w:left="100" w:firstLine="719"/>
        <w:jc w:val="both"/>
      </w:pPr>
      <w:r>
        <w:rPr>
          <w:rFonts w:ascii="Times New Roman" w:hAnsi="Times New Roman"/>
          <w:sz w:val="24"/>
        </w:rP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pPr>
        <w:pStyle w:val="Heading3"/>
      </w:pPr>
      <w:r>
        <w:rPr>
          <w:rFonts w:ascii="Times New Roman" w:hAnsi="Times New Roman"/>
          <w:color w:val="000000"/>
        </w:rPr>
        <w:t>5.5.2 Comparación agregada PROVISIONAL M1–M2</w:t>
      </w:r>
    </w:p>
    <w:p>
      <w:pPr>
        <w:spacing w:line="240" w:lineRule="auto" w:before="0" w:after="0"/>
        <w:ind w:left="100" w:firstLine="719"/>
        <w:jc w:val="both"/>
      </w:pPr>
      <w:r>
        <w:rPr>
          <w:rFonts w:ascii="Times New Roman" w:hAnsi="Times New Roman"/>
          <w:sz w:val="24"/>
        </w:rPr>
        <w:t>La Tabla 15 compara los seis subtotales obtenidos con Python y observados en SimaPro. Las diferencias se calcularon como SimaPro menos Python; las seis comparaciones recibieron clasificación A por concordancia dentro de la precisión mostrada.</w:t>
      </w:r>
    </w:p>
    <w:p>
      <w:pPr>
        <w:spacing w:line="240" w:lineRule="auto" w:before="0" w:after="0"/>
        <w:ind w:left="100" w:firstLine="719"/>
        <w:jc w:val="both"/>
      </w:pPr>
      <w:r>
        <w:rPr>
          <w:rFonts w:ascii="Times New Roman" w:hAnsi="Times New Roman"/>
          <w:sz w:val="24"/>
        </w:rP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Comparación agregada de la caracterización EF 3.1 entre Python y SimaPro.</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Escenario</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Categoría y unidad</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Python</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SimaPro</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(SimaPro − Python)</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Clasificación</w:t>
            </w:r>
          </w:p>
        </w:tc>
      </w:tr>
      <w:tr>
        <w:trPr>
          <w:cantSplit/>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3167,904519914095</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3167,9045</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-0,000019914095</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15,648347825374902</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0,000000174625098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617,0517125078838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-0,0000025078838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6252,09813683376</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6252,0981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-0,00003683376</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35,62231521609108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-0,00000021609108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961,269308200257</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0,000001799743</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bl>
    <w:p>
      <w:pPr>
        <w:pStyle w:val="Notadetabla"/>
      </w:pPr>
      <w:r>
        <w:rPr>
          <w:rFonts w:ascii="Times New Roman" w:hAnsi="Times New Roman"/>
          <w:b/>
        </w:rPr>
        <w:t xml:space="preserve">Nota. </w:t>
      </w:r>
      <w:r>
        <w:rPr>
          <w:rFonts w:ascii="Times New Roman" w:hAnsi="Times New Roman"/>
        </w:rPr>
        <w:t>Resultados de la sesión del 7 de octubre de 2026. El subtotal de cambio climático excluye la electricidad agregada del IMN y no equivale al cambio climático total publicado por el ACV. Todas las diferencias corresponden a SimaPro menos Python.</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3"/>
      </w:pPr>
      <w:r>
        <w:rPr>
          <w:rFonts w:ascii="Times New Roman" w:hAnsi="Times New Roman"/>
          <w:color w:val="000000"/>
        </w:rPr>
        <w:t>6.1.1 Interpretación del contraste experimental del nitrógeno</w:t>
      </w:r>
    </w:p>
    <w:p>
      <w:pPr>
        <w:spacing w:line="240" w:lineRule="auto" w:before="0" w:after="0"/>
        <w:ind w:left="100" w:firstLine="719"/>
        <w:jc w:val="both"/>
      </w:pPr>
      <w:r>
        <w:rPr>
          <w:rFonts w:ascii="Times New Roman" w:hAnsi="Times New Roman"/>
          <w:sz w:val="24"/>
        </w:rPr>
        <w:t>En A1, el N residual modelado superó a la referencia derivada del precompostado en 13,9 kg N/año (36,2 %). El resultado indica concordancia limitada entre ambas construcciones, pero no demuestra que el modelo subestime o sobreestime una ruta específica. El N del estiércol fresco se determinó mediante Kjeldahl y el del precompostado mediante Dumas sobre material acondicionado; la conversión a base húmeda combinó este último resultado con materia seca gravimétrica independiente. Además, la masa de A2 se infirió mediante conservación supuesta de cenizas y las muestras no correspondieron a un mismo lote pesado antes y después del precomposteo.</w:t>
      </w:r>
    </w:p>
    <w:p>
      <w:pPr>
        <w:spacing w:line="240" w:lineRule="auto" w:before="0" w:after="0"/>
        <w:ind w:left="100" w:firstLine="719"/>
        <w:jc w:val="both"/>
      </w:pPr>
      <w:r>
        <w:rPr>
          <w:rFonts w:ascii="Times New Roman" w:hAnsi="Times New Roman"/>
          <w:sz w:val="24"/>
        </w:rPr>
        <w:t>En aguas verdes, la concentración modelada fue 58,3 % mayor que la medición M2. Esta discrepancia puede relacionarse hipotéticamente con diferencias entre la dilución anual teórica y la condición puntual muestreada, así como con la acumulación, la residencia, la mezcla, la sedimentación o entradas no representadas con igual detalle. La muestra de la tanqueta no estuvo acompañada por una descarga real medida que permitiera convertir la concentración en un balance anual observado.</w:t>
      </w:r>
    </w:p>
    <w:p>
      <w:pPr>
        <w:spacing w:line="240" w:lineRule="auto" w:before="0" w:after="0"/>
        <w:ind w:left="100" w:firstLine="719"/>
        <w:jc w:val="both"/>
      </w:pPr>
      <w:r>
        <w:rPr>
          <w:rFonts w:ascii="Times New Roman" w:hAnsi="Times New Roman"/>
          <w:sz w:val="24"/>
        </w:rPr>
        <w:t>En purines se obtuvo la discrepancia relativa de mayor magnitud entre los tres contrastes: +195,7 %. Con el redondeo adoptado, la concentración modelada fue mayor que la medición M2. Su magnitud no demuestra una pérdida gaseosa mayor ni una pérdida real total de N, porque la concentración modelada combina N propagado, una masa teórica de estiércol depositado y agua anualizada, mientras la referencia procede de muestras M2 de una operación temporal. La dilución efectiva, las condiciones de acumulación y la representatividad temporal pueden contribuir a la discrepancia, pero no fueron identificadas causalmente por el diseño experimental.</w:t>
      </w:r>
    </w:p>
    <w:p>
      <w:pPr>
        <w:spacing w:line="240" w:lineRule="auto" w:before="0" w:after="0"/>
        <w:ind w:left="100" w:firstLine="719"/>
        <w:jc w:val="both"/>
      </w:pPr>
      <w:r>
        <w:rPr>
          <w:rFonts w:ascii="Times New Roman" w:hAnsi="Times New Roman"/>
          <w:sz w:val="24"/>
        </w:rPr>
        <w:t>El cierre del balance demuestra coherencia matemática de las ecuaciones implementadas. El contraste anterior constituye una evaluación parcial de plausibilidad frente a determinaciones experimentales. Una validación experimental completa requeriría masas de entrada y salida emparejadas en A1 y caudales o masas reales de descarga asociados con las muestras líquidas, además de evidencia que permitiera diferenciar las rutas de N.</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16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Heading2"/>
      </w:pPr>
      <w:r>
        <w:rPr>
          <w:rFonts w:ascii="Times New Roman" w:hAnsi="Times New Roman"/>
          <w:color w:val="000000"/>
        </w:rPr>
        <w:t>6.4 Alcance de la verificación Python–SimaPro</w:t>
      </w:r>
    </w:p>
    <w:p>
      <w:pPr>
        <w:spacing w:line="240" w:lineRule="auto" w:before="0" w:after="0"/>
        <w:ind w:left="100" w:firstLine="719"/>
        <w:jc w:val="both"/>
      </w:pPr>
      <w:r>
        <w:rPr>
          <w:rFonts w:ascii="Times New Roman" w:hAnsi="Times New Roman"/>
          <w:sz w:val="24"/>
        </w:rPr>
        <w:t>La concordancia observada permite afirmar únicamente que, para los flujos, compartimentos y categorías comprobados, la caracterización EF 3.1 implementada en Python fue 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pPr>
        <w:spacing w:line="240" w:lineRule="auto" w:before="0" w:after="0"/>
        <w:ind w:left="100" w:firstLine="719"/>
        <w:jc w:val="both"/>
      </w:pPr>
      <w:r>
        <w:rPr>
          <w:rFonts w:ascii="Times New Roman" w:hAnsi="Times New Roman"/>
          <w:sz w:val="24"/>
        </w:rP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b/>
          <w:sz w:val="24"/>
        </w:rPr>
        <w:t xml:space="preserve">Conclusión provisional 6. </w:t>
      </w:r>
      <w:r>
        <w:rPr>
          <w:rFonts w:ascii="Times New Roman" w:hAnsi="Times New Roman"/>
          <w:sz w:val="24"/>
        </w:rPr>
        <w:t>El contraste provisional del nitrógeno mostró diferencias modelo menos referencia de +36,2 % en el N residual de A1, +58,3 % en aguas verdes y +195,7 % en purines. Con el redondeo adoptado, el modelo superó la referencia en A1, superó la referencia en aguas verdes y superó la referencia en purines. Estas discrepancias delimitan la concordancia observada y orientan la revisión posterior a M3, pero no permiten validar experimentalmente los factores IPCC–EMEP/EEA ni atribuir la diferencia a mecanismos específicos.</w:t>
      </w:r>
    </w:p>
    <w:p>
      <w:pPr>
        <w:spacing w:line="240" w:lineRule="auto" w:before="0" w:after="0"/>
        <w:ind w:left="100" w:firstLine="719"/>
        <w:jc w:val="both"/>
      </w:pPr>
      <w:r>
        <w:rPr>
          <w:rFonts w:ascii="Times New Roman" w:hAnsi="Times New Roman"/>
          <w:sz w:val="24"/>
        </w:rP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Repetir la comparación agregada Python–SimaPro después de integrar y validar M3, antes de tratar la verificación como una comprobación definitiva de la caracterización EF 3.1.</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17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emisiones y contraste provisional del nitrógeno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1 y 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18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19 y 20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21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22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23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24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24</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25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25</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F. Trazabilidad de la verificación independiente Python–SimaPro</w:t>
      </w:r>
    </w:p>
    <w:p>
      <w:pPr>
        <w:spacing w:line="240" w:lineRule="auto" w:before="0" w:after="0"/>
        <w:ind w:left="100" w:firstLine="719"/>
        <w:jc w:val="both"/>
      </w:pPr>
      <w:r>
        <w:rPr>
          <w:rFonts w:ascii="Times New Roman" w:hAnsi="Times New Roman"/>
          <w:sz w:val="24"/>
        </w:rPr>
        <w:t>La Tabla 26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pPr>
        <w:pStyle w:val="Rótuloacadémico"/>
        <w:keepNext/>
        <w:keepLines/>
      </w:pPr>
      <w:r>
        <w:rPr>
          <w:rFonts w:ascii="Times New Roman" w:hAnsi="Times New Roman"/>
          <w:b/>
          <w:color w:val="000000"/>
        </w:rPr>
        <w:t>Tabla 26</w:t>
      </w:r>
    </w:p>
    <w:p>
      <w:pPr>
        <w:pStyle w:val="Descripciónacadémica"/>
        <w:keepNext/>
        <w:keepLines/>
      </w:pPr>
      <w:r>
        <w:rPr>
          <w:rFonts w:ascii="Times New Roman" w:hAnsi="Times New Roman"/>
          <w:i/>
          <w:color w:val="000000"/>
        </w:rPr>
        <w:t>Factores y resultados unitarios de la verificación EF 3.1.</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108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Flujo</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Compartimento y subcompartimento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Categoría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Factor Python</w:t>
            </w:r>
          </w:p>
        </w:tc>
        <w:tc>
          <w:tcPr>
            <w:tcW w:type="dxa" w:w="30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Observación en SimaPro</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Explicación</w:t>
            </w:r>
          </w:p>
        </w:tc>
      </w:tr>
      <w:tr>
        <w:trPr>
          <w:cantSplit/>
        </w:trPr>
        <w:tc>
          <w:tcPr>
            <w:tcW w:type="dxa" w:w="108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CH₄ biogénico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27,0 kg CO₂-eq/kg CH₄</w:t>
            </w:r>
          </w:p>
        </w:tc>
        <w:tc>
          <w:tcPr>
            <w:tcW w:type="dxa" w:w="30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 kg CO₂-eq/kg CH₄; resultado: 27 kg CO₂-eq</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N₂O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273,0 kg CO₂-eq/kg N₂O</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 kg CO₂-eq/kg N₂O; resultado: 273 kg CO₂-eq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 resultado: 13,5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B</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Redondeo visible del resultado; el factor observado fue 13,47.</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 resultado: 0,092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 resultado: 4,26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 resultado: 0,389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Agua; agua dulce</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 resultado: 0,226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CO₂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1,0 kg CO₂-eq/kg CO₂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 kg CO₂-eq/kg CO₂;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CH₄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bl>
    <w:p>
      <w:pPr>
        <w:pStyle w:val="Notadetabla"/>
      </w:pPr>
      <w:r>
        <w:rPr>
          <w:rFonts w:ascii="Times New Roman" w:hAnsi="Times New Roman"/>
          <w:b/>
        </w:rPr>
        <w:t xml:space="preserve">Nota. </w:t>
      </w:r>
      <w:r>
        <w:rPr>
          <w:rFonts w:ascii="Times New Roman" w:hAnsi="Times New Roman"/>
        </w:rP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