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las mediciones de laboratorio, los flujos del inventario y las ecuaciones de estimación de emisiones. Las categorías de impacto consideradas fueron calentamiento global y eutrofización.</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En el Escenario A, 66,69 % del estiércol depositado se recolectó y entró primero a A1: Precomposteo; la masa resultante de esa transformación continuó posteriormente hacia A2: Lombricompostaje. El 33,31 % restante permaneció adherido al piso, se incorporó a las aguas verdes y fue representado en A3: Almacenamiento de aguas verdes y A4: Aplicación de aguas verdes en campos de pastoreo.</w:t>
      </w:r>
    </w:p>
    <w:p>
      <w:pPr>
        <w:spacing w:line="240" w:lineRule="auto" w:before="0" w:after="0"/>
        <w:ind w:left="100" w:firstLine="719"/>
        <w:jc w:val="both"/>
      </w:pPr>
      <w:r>
        <w:rPr>
          <w:rFonts w:ascii="Times New Roman" w:hAnsi="Times New Roman"/>
          <w:sz w:val="24"/>
        </w:rPr>
        <w:t>En el Escenario B no se efectuó esa separación: el 100 % del estiércol teóricamente depositado, equivalente a 26 278,725181 kg/año, ingresó a B1: Almacenamiento de purines. En B2: Aplicación de purines en campo de pastoreo se integraron el agua de lavado y el total de estiércol depositado.</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flujo aplicado integró el agua de lavado y el estiércol remanente incorporado a las aguas verdes, y se empleó la caracterización química específica de las aguas verdes en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El flujo aplicado integró el agua de lavado y la totalidad del estiércol incorporado al purín, y se utilizó la caracterización química específica del purín en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Las aguas verdes correspondieron al efluente generado durante el lavado de las áreas de manejo animal y fueron consideradas en el Escenario A para las etapas de almacenamiento y aplicación. Los purines representaron la mezcla líquida de estiércol, orina, agua de lavado y otros residuos arrastrados, considerada en el Escenario B para almacenamiento y aplicación directa en campo.</w:t>
      </w:r>
    </w:p>
    <w:p>
      <w:pPr>
        <w:spacing w:line="240" w:lineRule="auto" w:before="0" w:after="0"/>
        <w:ind w:left="100" w:firstLine="719"/>
        <w:jc w:val="both"/>
      </w:pPr>
      <w:r>
        <w:rPr>
          <w:rFonts w:ascii="Times New Roman" w:hAnsi="Times New Roman"/>
          <w:sz w:val="24"/>
        </w:rPr>
        <w:t>Para cada flujo se organizaron las variables necesarias para estimar emisiones de CH₄, N₂O, NH₃ y NO₃⁻, así como los impactos asociados a calentamiento global y eutrofización. Los resultados de la caracterización fisicoquímica de los materiales analizados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77,593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29,041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5 412,504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5 412,504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9"/>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Al estado documental de esta versión se incorporaron principalmente los resultados disponibles del primer muestreo. Las jornadas posteriores se integrarán estadísticamente cuando sus resultados estén disponibles, sin presentar las observaciones actuales como representación definitiva de toda la campaña experimental.</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5 412,5045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fue convertido a fracción másica antes de emplearse en las ecuaciones de estimación de emisiones. Esta conversión permitió expresar el contenido de nitrógeno en kg N/kg de muestra.</w:t>
      </w:r>
    </w:p>
    <w:p>
      <w:pPr>
        <w:spacing w:line="240" w:lineRule="auto" w:before="0" w:after="0"/>
        <w:ind w:left="100" w:firstLine="719"/>
        <w:jc w:val="both"/>
      </w:pPr>
      <w:r>
        <w:rPr>
          <w:rFonts w:ascii="Times New Roman" w:hAnsi="Times New Roman"/>
          <w:sz w:val="24"/>
        </w:rPr>
        <w:t>La masa de nitrógeno asociada a cada flujo se estimó multiplicando la masa del flujo por la fracción másica de nitrógeno correspondiente.</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A3: Almacenamiento de aguas verdes y B1: Almacenamiento de purines, las emisiones asociadas con el manejo del estiércol se estimaron a partir de la masa de estiércol sometida al sistema, la caracterización del estiércol fresco y los factores correspondientes al sistema IPCC seleccionado. Aunque durante la operación real estos sistemas contienen agua de lavado, dicho volumen no se incorporó como masa de estiércol en las ecuaciones de manejo.</w:t>
      </w:r>
    </w:p>
    <w:p>
      <w:pPr>
        <w:spacing w:line="240" w:lineRule="auto" w:before="0" w:after="0"/>
        <w:ind w:left="100" w:firstLine="719"/>
        <w:jc w:val="both"/>
      </w:pPr>
      <w:r>
        <w:rPr>
          <w:rFonts w:ascii="Times New Roman" w:hAnsi="Times New Roman"/>
          <w:sz w:val="24"/>
        </w:rPr>
        <w:t>El componente líquido se incorporó en las etapas subsecuentes de aplicación en campo, A4: Aplicación de aguas verdes en campos de pastoreo y B2: Aplicación de purines en campo de pastoreo. En estas etapas se representó el flujo total aplicado, integrado por el agua de lavado y la fracción de estiércol correspondiente, y se utilizó la caracterización química específica de las aguas verdes o del purín, según el escenario, en las ecuaciones asociadas con suelos gestionados.</w:t>
      </w:r>
    </w:p>
    <w:p>
      <w:pPr>
        <w:spacing w:line="240" w:lineRule="auto" w:before="0" w:after="0"/>
        <w:ind w:left="100" w:firstLine="719"/>
        <w:jc w:val="both"/>
      </w:pPr>
      <w:r>
        <w:rPr>
          <w:rFonts w:ascii="Times New Roman" w:hAnsi="Times New Roman"/>
          <w:sz w:val="24"/>
        </w:rPr>
        <w:t>La etapa A2: Lombricompostaje se trató como caso especial cuando la estimación se basó en factores obtenidos de mediciones publicadas. En los demás casos, las emisiones se estimaron con los factores de manejo y parámetros descritos en la Tabla 3.</w:t>
      </w:r>
    </w:p>
    <w:p>
      <w:pPr>
        <w:spacing w:line="240" w:lineRule="auto" w:before="0" w:after="0"/>
        <w:ind w:left="100" w:firstLine="719"/>
        <w:jc w:val="both"/>
      </w:pPr>
      <w:r>
        <w:rPr>
          <w:rFonts w:ascii="Times New Roman" w:hAnsi="Times New Roman"/>
          <w:sz w:val="24"/>
        </w:rPr>
        <w:t>Los factores asociados con las ecuaciones de estimación de emisiones se organizaron de acuerdo con la metodología IPCC. Los factores obtenidos mediante mediciones y utilizados para relacionar el residuo seco o estiércol precompostado con emisiones de gases de efecto invernadero fueron tomados de Jjagwe et al. (2019).</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Las sustancias consideradas fueron CO₂, CH₄, N₂O, NH₃ y NO₃⁻. Las ecuaciones de nitrógeno utilizaron n ex,Fracción como fracción másica de entrada.</w:t>
      </w:r>
    </w:p>
    <w:p>
      <w:pPr>
        <w:spacing w:line="240" w:lineRule="auto" w:before="0" w:after="0"/>
        <w:ind w:left="100" w:firstLine="719"/>
        <w:jc w:val="both"/>
      </w:pPr>
      <w:r>
        <w:rPr>
          <w:rFonts w:ascii="Times New Roman" w:hAnsi="Times New Roman"/>
          <w:sz w:val="24"/>
        </w:rPr>
        <w:t>Las ecuaciones del IPCC permitieron estimar las pérdidas de N por volatilización y lixiviación, así como la fracción de dichas pérdidas transformada en N₂O-N indirecto. Estas ecuaciones no se utilizaron originalmente para calcular eutrofización; por ello, el presente TFG incorporó una adaptación metodológica para representar el N remanente potencialmente contribuyente a esa categoría.</w:t>
      </w:r>
    </w:p>
    <w:p>
      <w:pPr>
        <w:spacing w:line="240" w:lineRule="auto" w:before="0" w:after="0"/>
        <w:ind w:left="100" w:firstLine="719"/>
        <w:jc w:val="both"/>
      </w:pPr>
      <w:r>
        <w:rPr>
          <w:rFonts w:ascii="Times New Roman" w:hAnsi="Times New Roman"/>
          <w:sz w:val="24"/>
        </w:rPr>
        <w:t>Se definió Nᴳ como el nitrógeno remanente de la ruta de volatilización después de descontar la fracción transformada en N₂O-N indirecto, y Nᴸ como el nitrógeno remanente de la ruta de lixiviación después del descuento equivalente. El conjunto potencialmente eutrofizante, Nₑᵤₜ, se definió como la suma de Nᴳ y Nᴸ. Las ecuaciones siguientes presentan estas magnitudes mediante subíndices en notación LaTeX.</w:t>
      </w:r>
    </w:p>
    <w:p>
      <w:pPr>
        <w:spacing w:line="240" w:lineRule="auto" w:before="0" w:after="0"/>
        <w:ind w:left="100" w:firstLine="719"/>
        <w:jc w:val="both"/>
      </w:pPr>
      <w:r>
        <w:rPr>
          <w:rFonts w:ascii="Times New Roman" w:hAnsi="Times New Roman"/>
          <w:sz w:val="24"/>
        </w:rPr>
        <w:t>Para representar la especiación de Nₑᵤₜ dentro del inventario, se adoptó como supuesto metodológico del presente TFG una distribución de 50 % como N asociado a NH₃ y 50 % como N asociado a NO₃⁻. Esta distribución tomó como antecedente el supuesto empleado por Komakech et al. (2016) para el N del estiércol que alcanza cuerpos de agua, sin atribuir a esos autores la aplicación directa de este reparto al N remanente de las rutas IPCC.</w:t>
      </w:r>
    </w:p>
    <w:p>
      <w:pPr>
        <w:spacing w:line="240" w:lineRule="auto" w:before="0" w:after="0"/>
        <w:ind w:left="100" w:firstLine="719"/>
        <w:jc w:val="both"/>
      </w:pPr>
      <w:r>
        <w:rPr>
          <w:rFonts w:ascii="Times New Roman" w:hAnsi="Times New Roman"/>
          <w:sz w:val="24"/>
        </w:rPr>
        <w:t>En consecuencia, NH₃ y NO₃⁻ se derivaron del conjunto Nₑᵤₜ y no de una correspondencia directa entre Nᴳ y NH₃ o entre Nᴸ y NO₃⁻. Una etapa con Nᴸ igual a cero puede presentar NO₃⁻ equivalente porque una mitad de Nₑᵤₜ se asigna a N asociado a nitrato bajo el supuesto de especiación; este resultado no representa una predicción directa de lixiviación física ni de la especie química final en el ambiente.</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ind w:left="0" w:firstLine="0"/>
        <w:jc w:val="center"/>
      </w:pPr>
      <w:r>
        <w:rPr>
          <w:rFonts w:ascii="Cambria Math" w:hAnsi="Cambria Math"/>
          <w:sz w:val="24"/>
        </w:rPr>
        <w:t>N_G = N_{volatilizado} \times (1 - EF_4)</w:t>
      </w:r>
    </w:p>
    <w:p>
      <w:pPr>
        <w:ind w:left="0" w:firstLine="0"/>
        <w:jc w:val="center"/>
      </w:pPr>
      <w:r>
        <w:rPr>
          <w:rFonts w:ascii="Cambria Math" w:hAnsi="Cambria Math"/>
          <w:sz w:val="24"/>
        </w:rPr>
        <w:t>N_L = N_{lixiviado} \times (1 - EF_5)</w:t>
      </w:r>
    </w:p>
    <w:p>
      <w:pPr>
        <w:ind w:left="0" w:firstLine="0"/>
        <w:jc w:val="center"/>
      </w:pPr>
      <w:r>
        <w:rPr>
          <w:rFonts w:ascii="Cambria Math" w:hAnsi="Cambria Math"/>
          <w:sz w:val="24"/>
        </w:rPr>
        <w:t>N_{eut} = N_G + N_L</w:t>
      </w:r>
    </w:p>
    <w:p>
      <w:pPr>
        <w:ind w:left="0" w:firstLine="0"/>
        <w:jc w:val="center"/>
      </w:pPr>
      <w:r>
        <w:rPr>
          <w:rFonts w:ascii="Cambria Math" w:hAnsi="Cambria Math"/>
          <w:sz w:val="24"/>
        </w:rPr>
        <w:t>N_{NH_3} = 0,5 \times N_{eut}</w:t>
      </w:r>
    </w:p>
    <w:p>
      <w:pPr>
        <w:ind w:left="0" w:firstLine="0"/>
        <w:jc w:val="center"/>
      </w:pPr>
      <w:r>
        <w:rPr>
          <w:rFonts w:ascii="Cambria Math" w:hAnsi="Cambria Math"/>
          <w:sz w:val="24"/>
        </w:rPr>
        <w:t>N_{NO_3^-} = 0,5 \times N_{eut}</w:t>
      </w:r>
    </w:p>
    <w:p>
      <w:pPr>
        <w:ind w:left="0" w:firstLine="0"/>
        <w:jc w:val="center"/>
      </w:pPr>
      <w:r>
        <w:rPr>
          <w:rFonts w:ascii="Cambria Math" w:hAnsi="Cambria Math"/>
          <w:sz w:val="24"/>
        </w:rPr>
        <w:t>m_{NH_3} = N_{NH_3} \times \frac{17}{14}</w:t>
      </w:r>
    </w:p>
    <w:p>
      <w:pPr>
        <w:ind w:left="0" w:firstLine="0"/>
        <w:jc w:val="center"/>
      </w:pPr>
      <w:r>
        <w:rPr>
          <w:rFonts w:ascii="Cambria Math" w:hAnsi="Cambria Math"/>
          <w:sz w:val="24"/>
        </w:rPr>
        <w:t>m_{NO_3^-} = N_{NO_3^-} \times 4,4268</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convirtió las emisiones estimadas en resultados equivalentes mediante factores de caracterización. Las categorías consideradas fueron calentamiento global, expresado como kg CO₂-eq/año, y eutrofización, expresada como kg PO₄-eq/año. La unidad de eutrofización se expresa como equivalente de fosfato y se relaciona con el ion PO₄³⁻.</w:t>
      </w:r>
    </w:p>
    <w:p>
      <w:pPr>
        <w:spacing w:line="240" w:lineRule="auto" w:before="0" w:after="0"/>
        <w:ind w:left="100" w:firstLine="719"/>
        <w:jc w:val="both"/>
      </w:pPr>
      <w:r>
        <w:rPr>
          <w:rFonts w:ascii="Times New Roman" w:hAnsi="Times New Roman"/>
          <w:sz w:val="24"/>
        </w:rPr>
        <w:t>Para la categoría de calentamiento global se emplearon los potenciales reportados por el IMN (2021), expresados en kg CO₂-eq/kg de sustancia emitida. Para la categoría de eutrofización se utilizaron factores expresados en kg PO₄-eq/kg, con base en Ecobilan (1999, como se citó en Vallejo, 2004).</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caracterización para las categorías de impacto.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bl>
    <w:p>
      <w:pPr>
        <w:pStyle w:val="Heading2"/>
      </w:pPr>
      <w:r>
        <w:rPr>
          <w:rFonts w:ascii="Times New Roman" w:hAnsi="Times New Roman"/>
          <w:color w:val="000000"/>
        </w:rPr>
        <w:t>20.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la eutrofización se incluyó además la adaptación que distribuye por partes iguales el conjunto Nₑᵤₜ entre N asociado a NH₃ y N asociado a NO₃⁻. Esta adaptación representa una convención de inventario del presente TFG y no una medición directa de la especiación ambiental.</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21. Limitaciones metodológicas</w:t>
      </w:r>
    </w:p>
    <w:p>
      <w:pPr>
        <w:spacing w:line="240" w:lineRule="auto" w:before="0" w:after="0"/>
        <w:ind w:left="100" w:firstLine="719"/>
        <w:jc w:val="both"/>
      </w:pPr>
      <w:r>
        <w:rPr>
          <w:rFonts w:ascii="Times New Roman" w:hAnsi="Times New Roman"/>
          <w:sz w:val="24"/>
        </w:rPr>
        <w:t>La estimación depende de la representatividad de las muestras de laboratorio y de la duración del muestreo de agua y estiércol.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22. Referencias metodológicas incorporadas</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5 412,5045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B0 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SV</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de estimación de CH₄</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modelo con estructura 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o cabeza equivalente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unidad equivalente del modelo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cdg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ausencia de codigestión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 + NOx-N volatilizado)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5 y 16</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lixiviado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6 y 18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gasm</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16</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leach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 N2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 4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2 O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o kg PO₄-eq/año</w:t>
            </w:r>
          </w:p>
        </w:tc>
      </w:tr>
    </w:tbl>
    <w:sectPr w:rsidR="00FC693F" w:rsidRPr="0006063C" w:rsidSect="00034616">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