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color w:val="000000"/>
        </w:rPr>
        <w:t>Resultados desarrollados del Análisis de Ciclo de Vida</w:t>
      </w:r>
    </w:p>
    <w:p>
      <w:pPr>
        <w:pStyle w:val="Heading2"/>
      </w:pPr>
      <w:r>
        <w:rPr>
          <w:rFonts w:ascii="Times New Roman" w:hAnsi="Times New Roman"/>
          <w:color w:val="000000"/>
        </w:rPr>
        <w:t>1. Caracterización de las muestras analizadas</w:t>
      </w:r>
    </w:p>
    <w:p>
      <w:pPr>
        <w:spacing w:line="240" w:lineRule="auto" w:before="0" w:after="0"/>
        <w:ind w:left="100" w:firstLine="719"/>
        <w:jc w:val="both"/>
      </w:pPr>
      <w:r>
        <w:rPr>
          <w:rFonts w:ascii="Times New Roman" w:hAnsi="Times New Roman"/>
          <w:sz w:val="24"/>
        </w:rPr>
        <w:t>La caracterización de las muestras analizadas permitió establecer los parámetros fisicoquímicos usados como entradas del inventario de ciclo de vida. El estiércol fresco presentó un contenido promedio de agua de 85,77 % y una materia seca de 14,23 %. El estiércol precompostado presentó un contenido promedio de agua de 77,59 % y una materia seca de 22,41 %.</w:t>
      </w:r>
    </w:p>
    <w:p>
      <w:pPr>
        <w:spacing w:line="240" w:lineRule="auto" w:before="0" w:after="0"/>
        <w:ind w:left="100" w:firstLine="719"/>
        <w:jc w:val="both"/>
      </w:pPr>
      <w:r>
        <w:rPr>
          <w:rFonts w:ascii="Times New Roman" w:hAnsi="Times New Roman"/>
          <w:sz w:val="24"/>
        </w:rPr>
        <w:t>La fracción de sólidos volátiles fue mayor en el estiércol fresco, con 85,88 % en base seca, mientras que el estiércol precompostado presentó 70,96 %. En contraste, las cenizas fueron mayores en el material precompostado. El nitrógeno total fue de 0,372 % para estiércol fresco y de 2,425 % para estiércol precompostado.</w:t>
      </w:r>
    </w:p>
    <w:p>
      <w:pPr>
        <w:spacing w:line="240" w:lineRule="auto" w:before="0" w:after="0"/>
        <w:ind w:left="100" w:firstLine="719"/>
        <w:jc w:val="both"/>
      </w:pPr>
      <w:r>
        <w:rPr>
          <w:rFonts w:ascii="Times New Roman" w:hAnsi="Times New Roman"/>
          <w:sz w:val="24"/>
        </w:rPr>
        <w:t>La Tabla 1 resume los valores de caracterización de las muestras. La Figura 1 presenta húmedad y materia seca, mientras que la Figura 2 presenta sólidos volátiles y cenizas.</w:t>
      </w:r>
    </w:p>
    <w:p>
      <w:pPr>
        <w:spacing w:line="240" w:lineRule="auto" w:before="0" w:after="0"/>
        <w:ind w:left="100" w:firstLine="719"/>
        <w:jc w:val="both"/>
      </w:pPr>
      <w:r>
        <w:rPr>
          <w:rFonts w:ascii="Times New Roman" w:hAnsi="Times New Roman"/>
          <w:sz w:val="24"/>
        </w:rPr>
        <w:t>La Tabla R1 del bloque de apéndices internos, Caracterización completa de muestras, presenta la desagregación de los resultados fisicoquímicos utilizados en esta sección.</w:t>
      </w:r>
    </w:p>
    <w:p>
      <w:pPr>
        <w:spacing w:line="240" w:lineRule="auto" w:before="0" w:after="0"/>
        <w:ind w:left="100" w:firstLine="719"/>
        <w:jc w:val="both"/>
      </w:pPr>
      <w:r>
        <w:rPr>
          <w:rFonts w:ascii="Times New Roman" w:hAnsi="Times New Roman"/>
          <w:sz w:val="24"/>
        </w:rPr>
        <w:t>Los valores presentados corresponden principalmente a las observaciones disponibles del primer muestreo incorporado. Las jornadas restantes se integrarán estadísticamente cuando sus resultados estén disponibles.</w:t>
      </w:r>
    </w:p>
    <w:p>
      <w:pPr>
        <w:pStyle w:val="Rótuloacadémico"/>
      </w:pPr>
      <w:r>
        <w:rPr>
          <w:rFonts w:ascii="Times New Roman" w:hAnsi="Times New Roman"/>
          <w:b/>
          <w:color w:val="000000"/>
        </w:rPr>
        <w:t>Tabla 1</w:t>
      </w:r>
    </w:p>
    <w:p>
      <w:pPr>
        <w:pStyle w:val="Descripciónacadémica"/>
      </w:pPr>
      <w:r>
        <w:rPr>
          <w:rFonts w:ascii="Times New Roman" w:hAnsi="Times New Roman"/>
          <w:i/>
          <w:color w:val="000000"/>
        </w:rPr>
        <w:t>Caracterización resumida de las muestras.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muestra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Humedad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 seca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Cenizas (% base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Sólidos volátiles (% base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85,77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14,23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14,123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85,877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0,372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77,593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22,407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29,041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70,959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2,425</w:t>
            </w:r>
          </w:p>
        </w:tc>
      </w:tr>
    </w:tbl>
    <w:p>
      <w:pPr>
        <w:pStyle w:val="Rótuloacadémico"/>
      </w:pPr>
      <w:r>
        <w:rPr>
          <w:rFonts w:ascii="Times New Roman" w:hAnsi="Times New Roman"/>
          <w:b/>
          <w:color w:val="000000"/>
        </w:rPr>
        <w:t>Figura 1</w:t>
      </w:r>
    </w:p>
    <w:p>
      <w:pPr>
        <w:pStyle w:val="Descripciónacadémica"/>
      </w:pPr>
      <w:r>
        <w:rPr>
          <w:rFonts w:ascii="Times New Roman" w:hAnsi="Times New Roman"/>
          <w:i/>
          <w:color w:val="000000"/>
        </w:rPr>
        <w:t>Humedad y materia seca promedio por tipo de muestra.</w:t>
      </w:r>
    </w:p>
    <w:p>
      <w:pPr>
        <w:ind w:left="0" w:firstLine="0"/>
        <w:jc w:val="center"/>
      </w:pPr>
      <w:r>
        <w:drawing>
          <wp:inline xmlns:a="http://schemas.openxmlformats.org/drawingml/2006/main" xmlns:pic="http://schemas.openxmlformats.org/drawingml/2006/picture">
            <wp:extent cx="5669280" cy="3962194"/>
            <wp:docPr id="1" name="Picture 1"/>
            <wp:cNvGraphicFramePr>
              <a:graphicFrameLocks noChangeAspect="1"/>
            </wp:cNvGraphicFramePr>
            <a:graphic>
              <a:graphicData uri="http://schemas.openxmlformats.org/drawingml/2006/picture">
                <pic:pic>
                  <pic:nvPicPr>
                    <pic:cNvPr id="0" name="fig_01_caracterizacion_humedad_materia_seca.png"/>
                    <pic:cNvPicPr/>
                  </pic:nvPicPr>
                  <pic:blipFill>
                    <a:blip r:embed="rId9"/>
                    <a:stretch>
                      <a:fillRect/>
                    </a:stretch>
                  </pic:blipFill>
                  <pic:spPr>
                    <a:xfrm>
                      <a:off x="0" y="0"/>
                      <a:ext cx="5669280" cy="3962194"/>
                    </a:xfrm>
                    <a:prstGeom prst="rect"/>
                  </pic:spPr>
                </pic:pic>
              </a:graphicData>
            </a:graphic>
          </wp:inline>
        </w:drawing>
      </w:r>
    </w:p>
    <w:p>
      <w:pPr>
        <w:pStyle w:val="Rótuloacadémico"/>
      </w:pPr>
      <w:r>
        <w:rPr>
          <w:rFonts w:ascii="Times New Roman" w:hAnsi="Times New Roman"/>
          <w:b/>
          <w:color w:val="000000"/>
        </w:rPr>
        <w:t>Figura 2</w:t>
      </w:r>
    </w:p>
    <w:p>
      <w:pPr>
        <w:pStyle w:val="Descripciónacadémica"/>
      </w:pPr>
      <w:r>
        <w:rPr>
          <w:rFonts w:ascii="Times New Roman" w:hAnsi="Times New Roman"/>
          <w:i/>
          <w:color w:val="000000"/>
        </w:rPr>
        <w:t>Sólidos volátiles y cenizas por tipo de muestra.</w:t>
      </w:r>
    </w:p>
    <w:p>
      <w:pPr>
        <w:ind w:left="0" w:firstLine="0"/>
        <w:jc w:val="center"/>
      </w:pPr>
      <w:r>
        <w:drawing>
          <wp:inline xmlns:a="http://schemas.openxmlformats.org/drawingml/2006/main" xmlns:pic="http://schemas.openxmlformats.org/drawingml/2006/picture">
            <wp:extent cx="5669280" cy="3962194"/>
            <wp:docPr id="2" name="Picture 2"/>
            <wp:cNvGraphicFramePr>
              <a:graphicFrameLocks noChangeAspect="1"/>
            </wp:cNvGraphicFramePr>
            <a:graphic>
              <a:graphicData uri="http://schemas.openxmlformats.org/drawingml/2006/picture">
                <pic:pic>
                  <pic:nvPicPr>
                    <pic:cNvPr id="0" name="fig_02_caracterizacion_solidos_volatiles_cenizas.png"/>
                    <pic:cNvPicPr/>
                  </pic:nvPicPr>
                  <pic:blipFill>
                    <a:blip r:embed="rId10"/>
                    <a:stretch>
                      <a:fillRect/>
                    </a:stretch>
                  </pic:blipFill>
                  <pic:spPr>
                    <a:xfrm>
                      <a:off x="0" y="0"/>
                      <a:ext cx="5669280" cy="3962194"/>
                    </a:xfrm>
                    <a:prstGeom prst="rect"/>
                  </pic:spPr>
                </pic:pic>
              </a:graphicData>
            </a:graphic>
          </wp:inline>
        </w:drawing>
      </w:r>
    </w:p>
    <w:p>
      <w:pPr>
        <w:pStyle w:val="Heading2"/>
      </w:pPr>
      <w:r>
        <w:rPr>
          <w:rFonts w:ascii="Times New Roman" w:hAnsi="Times New Roman"/>
          <w:color w:val="000000"/>
        </w:rPr>
        <w:t>2. Flujos del inventario de ciclo de vida</w:t>
      </w:r>
    </w:p>
    <w:p>
      <w:pPr>
        <w:spacing w:line="240" w:lineRule="auto" w:before="0" w:after="0"/>
        <w:ind w:left="100" w:firstLine="719"/>
        <w:jc w:val="both"/>
      </w:pPr>
      <w:r>
        <w:rPr>
          <w:rFonts w:ascii="Times New Roman" w:hAnsi="Times New Roman"/>
          <w:sz w:val="24"/>
        </w:rPr>
        <w:t>Estos valores se presentan como flujos anuales estimados del inventario, manteniendo como referencia metodológica la unidad funcional de 1 kg de estiércol fresco manejado. El flujo anual común expresa la escala operacional del inventario y no redefine la unidad funcional.</w:t>
      </w:r>
    </w:p>
    <w:p>
      <w:pPr>
        <w:spacing w:line="240" w:lineRule="auto" w:before="0" w:after="0"/>
        <w:ind w:left="100" w:firstLine="719"/>
        <w:jc w:val="both"/>
      </w:pPr>
      <w:r>
        <w:rPr>
          <w:rFonts w:ascii="Times New Roman" w:hAnsi="Times New Roman"/>
          <w:sz w:val="24"/>
        </w:rPr>
        <w:t>Los flujos del inventario se expresaron como masa equivalente total por año para cada etapa. B2: Aplicación de purines en campo de pastoreo presentó la mayor masa equivalente total, con 276 851,23 kg eq/año. En el Escenario A, A4: Aplicación de aguas verdes en campos de pastoreo dominó la masa equivalente, con 259 326,13 kg eq/año.</w:t>
      </w:r>
    </w:p>
    <w:p>
      <w:pPr>
        <w:spacing w:line="240" w:lineRule="auto" w:before="0" w:after="0"/>
        <w:ind w:left="100" w:firstLine="719"/>
        <w:jc w:val="both"/>
      </w:pPr>
      <w:r>
        <w:rPr>
          <w:rFonts w:ascii="Times New Roman" w:hAnsi="Times New Roman"/>
          <w:sz w:val="24"/>
        </w:rPr>
        <w:t>La masa equivalente de A4 integra el agua de lavado y 8 753,63 kg/año de estiércol remanente derivados del balance en sala. La masa equivalente de B2 integra agua de lavado y 26 278,73 kg/año de estiércol fresco teóricamente depositado.</w:t>
      </w:r>
    </w:p>
    <w:p>
      <w:pPr>
        <w:spacing w:line="240" w:lineRule="auto" w:before="0" w:after="0"/>
        <w:ind w:left="100" w:firstLine="719"/>
        <w:jc w:val="both"/>
      </w:pPr>
      <w:r>
        <w:rPr>
          <w:rFonts w:ascii="Times New Roman" w:hAnsi="Times New Roman"/>
          <w:sz w:val="24"/>
        </w:rPr>
        <w:t>En contraste, para estimar las emisiones de manejo en A3: Almacenamiento de aguas verdes y B1: Almacenamiento de purines se utilizó la masa de estiércol correspondiente, sin sumar el agua de lavado como masa de actividad. El flujo total de agua y estiércol se incorporó en las etapas subsecuentes de aplicación A4 y B2.</w:t>
      </w:r>
    </w:p>
    <w:p>
      <w:pPr>
        <w:spacing w:line="240" w:lineRule="auto" w:before="0" w:after="0"/>
        <w:ind w:left="100" w:firstLine="719"/>
        <w:jc w:val="both"/>
      </w:pPr>
      <w:r>
        <w:rPr>
          <w:rFonts w:ascii="Times New Roman" w:hAnsi="Times New Roman"/>
          <w:sz w:val="24"/>
        </w:rPr>
        <w:t>A2: Lombricompostaje presentó la menor masa equivalente. La Tabla 2 presenta la masa equivalente total por etapa y la Figura 3 resume su distribución por escenario.</w:t>
      </w:r>
    </w:p>
    <w:p>
      <w:pPr>
        <w:spacing w:line="240" w:lineRule="auto" w:before="0" w:after="0"/>
        <w:ind w:left="100" w:firstLine="719"/>
        <w:jc w:val="both"/>
      </w:pPr>
      <w:r>
        <w:rPr>
          <w:rFonts w:ascii="Times New Roman" w:hAnsi="Times New Roman"/>
          <w:sz w:val="24"/>
        </w:rPr>
        <w:t>La Tabla R2 del bloque de apéndices internos, Flujos completos del inventario, contiene la desagregación de los flujos empleados para construir el ICV.</w:t>
      </w:r>
    </w:p>
    <w:p>
      <w:pPr>
        <w:pStyle w:val="Rótuloacadémico"/>
      </w:pPr>
      <w:r>
        <w:rPr>
          <w:rFonts w:ascii="Times New Roman" w:hAnsi="Times New Roman"/>
          <w:b/>
          <w:color w:val="000000"/>
        </w:rPr>
        <w:t>Tabla 2</w:t>
      </w:r>
    </w:p>
    <w:p>
      <w:pPr>
        <w:pStyle w:val="Descripciónacadémica"/>
      </w:pPr>
      <w:r>
        <w:rPr>
          <w:rFonts w:ascii="Times New Roman" w:hAnsi="Times New Roman"/>
          <w:i/>
          <w:color w:val="000000"/>
        </w:rPr>
        <w:t>Masa equivalente total por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3193"/>
        <w:gridCol w:w="3193"/>
        <w:gridCol w:w="3193"/>
      </w:tblGrid>
      <w:tr>
        <w:trPr>
          <w:cantSplit/>
          <w:tblHeader w:val="true"/>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Masa equivalente total (kg eq/año)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5 412,5</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8 753,63</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259 326,13</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26 278,73</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276 851,23</w:t>
            </w:r>
          </w:p>
        </w:tc>
      </w:tr>
    </w:tbl>
    <w:p>
      <w:pPr>
        <w:pStyle w:val="Rótuloacadémico"/>
      </w:pPr>
      <w:r>
        <w:rPr>
          <w:rFonts w:ascii="Times New Roman" w:hAnsi="Times New Roman"/>
          <w:b/>
          <w:color w:val="000000"/>
        </w:rPr>
        <w:t>Figura 3</w:t>
      </w:r>
    </w:p>
    <w:p>
      <w:pPr>
        <w:pStyle w:val="Descripciónacadémica"/>
      </w:pPr>
      <w:r>
        <w:rPr>
          <w:rFonts w:ascii="Times New Roman" w:hAnsi="Times New Roman"/>
          <w:i/>
          <w:color w:val="000000"/>
        </w:rPr>
        <w:t>Masa equivalente total por etapa y escenario.</w:t>
      </w:r>
    </w:p>
    <w:p>
      <w:pPr>
        <w:ind w:left="0" w:firstLine="0"/>
        <w:jc w:val="center"/>
      </w:pPr>
      <w:r>
        <w:drawing>
          <wp:inline xmlns:a="http://schemas.openxmlformats.org/drawingml/2006/main" xmlns:pic="http://schemas.openxmlformats.org/drawingml/2006/picture">
            <wp:extent cx="5669280" cy="2808756"/>
            <wp:docPr id="3" name="Picture 3"/>
            <wp:cNvGraphicFramePr>
              <a:graphicFrameLocks noChangeAspect="1"/>
            </wp:cNvGraphicFramePr>
            <a:graphic>
              <a:graphicData uri="http://schemas.openxmlformats.org/drawingml/2006/picture">
                <pic:pic>
                  <pic:nvPicPr>
                    <pic:cNvPr id="0" name="fig_04_flujos_masa_equivalente_total.png"/>
                    <pic:cNvPicPr/>
                  </pic:nvPicPr>
                  <pic:blipFill>
                    <a:blip r:embed="rId11"/>
                    <a:stretch>
                      <a:fillRect/>
                    </a:stretch>
                  </pic:blipFill>
                  <pic:spPr>
                    <a:xfrm>
                      <a:off x="0" y="0"/>
                      <a:ext cx="5669280" cy="2808756"/>
                    </a:xfrm>
                    <a:prstGeom prst="rect"/>
                  </pic:spPr>
                </pic:pic>
              </a:graphicData>
            </a:graphic>
          </wp:inline>
        </w:drawing>
      </w:r>
    </w:p>
    <w:p>
      <w:pPr>
        <w:pStyle w:val="Heading2"/>
      </w:pPr>
      <w:r>
        <w:rPr>
          <w:rFonts w:ascii="Times New Roman" w:hAnsi="Times New Roman"/>
          <w:color w:val="000000"/>
        </w:rPr>
        <w:t>3. Parámetros utilizados en el modelo ACV</w:t>
      </w:r>
    </w:p>
    <w:p>
      <w:pPr>
        <w:spacing w:line="240" w:lineRule="auto" w:before="0" w:after="0"/>
        <w:ind w:left="100" w:firstLine="719"/>
        <w:jc w:val="both"/>
      </w:pPr>
      <w:r>
        <w:rPr>
          <w:rFonts w:ascii="Times New Roman" w:hAnsi="Times New Roman"/>
          <w:sz w:val="24"/>
        </w:rPr>
        <w:t>Los parámetros utilizados en el modelo se organizaron por escenario y etapa. La tabla distingue entre el nitrógeno total reportado en porcentaje y la fracción másica empleada en las ecuaciones de nitrógeno. La fracción másica se obtuvo al dividir el porcentaje reportado entre 100.</w:t>
      </w:r>
    </w:p>
    <w:p>
      <w:pPr>
        <w:spacing w:line="240" w:lineRule="auto" w:before="0" w:after="0"/>
        <w:ind w:left="100" w:firstLine="719"/>
        <w:jc w:val="both"/>
      </w:pPr>
      <w:r>
        <w:rPr>
          <w:rFonts w:ascii="Times New Roman" w:hAnsi="Times New Roman"/>
          <w:sz w:val="24"/>
        </w:rPr>
        <w:t>A2: Lombricompostaje aparece como una etapa estimada mediante información experimental publicada. Las demás etapas se calculan con ecuaciones IPCC según el sistema de manejo asignado. La Tabla 3 resume los parámetros principales.</w:t>
      </w:r>
    </w:p>
    <w:p>
      <w:pPr>
        <w:spacing w:line="240" w:lineRule="auto" w:before="0" w:after="0"/>
        <w:ind w:left="100" w:firstLine="719"/>
        <w:jc w:val="both"/>
      </w:pPr>
      <w:r>
        <w:rPr>
          <w:rFonts w:ascii="Times New Roman" w:hAnsi="Times New Roman"/>
          <w:sz w:val="24"/>
        </w:rPr>
        <w:t>Los factores vinculados con las ecuaciones de emisiones siguen la metodología IPCC, mientras que los factores obtenidos mediante mediciones por unidad de residuo seco utilizados en A2 proceden de Jjagwe et al. (2019).</w:t>
      </w:r>
    </w:p>
    <w:p>
      <w:pPr>
        <w:spacing w:line="240" w:lineRule="auto" w:before="0" w:after="0"/>
        <w:ind w:left="100" w:firstLine="719"/>
        <w:jc w:val="both"/>
      </w:pPr>
      <w:r>
        <w:rPr>
          <w:rFonts w:ascii="Times New Roman" w:hAnsi="Times New Roman"/>
          <w:sz w:val="24"/>
        </w:rPr>
        <w:t>La Tabla R3 del bloque de apéndices internos, Parámetros completos del modelo ACV, amplía los parámetros por escenario y etapa; la Tabla R4, Factores completos de emisión y caracterización, documenta los factores asociados.</w:t>
      </w:r>
    </w:p>
    <w:p>
      <w:pPr>
        <w:pStyle w:val="Rótuloacadémico"/>
      </w:pPr>
      <w:r>
        <w:rPr>
          <w:rFonts w:ascii="Times New Roman" w:hAnsi="Times New Roman"/>
          <w:b/>
          <w:color w:val="000000"/>
        </w:rPr>
        <w:t>Tabla 3</w:t>
      </w:r>
    </w:p>
    <w:p>
      <w:pPr>
        <w:pStyle w:val="Descripciónacadémica"/>
      </w:pPr>
      <w:r>
        <w:rPr>
          <w:rFonts w:ascii="Times New Roman" w:hAnsi="Times New Roman"/>
          <w:i/>
          <w:color w:val="000000"/>
        </w:rPr>
        <w:t>Parámetros principales por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064"/>
        <w:gridCol w:w="1064"/>
        <w:gridCol w:w="1064"/>
        <w:gridCol w:w="1064"/>
        <w:gridCol w:w="1064"/>
        <w:gridCol w:w="1064"/>
        <w:gridCol w:w="1064"/>
        <w:gridCol w:w="1064"/>
        <w:gridCol w:w="1064"/>
      </w:tblGrid>
      <w:tr>
        <w:trPr>
          <w:cantSplit/>
          <w:tblHeader w:val="true"/>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Modelo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 de cálculo de la etapa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EF3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MCF</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Masa equivalente (kg eq/año)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Fracción másica de 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reportado (%)</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0,0037</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0,3717</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experimentales publicados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5 412,5045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2,425</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0,0037</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0,3717</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0,0072</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0,0037</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0,3717</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0,0114</w:t>
            </w:r>
          </w:p>
        </w:tc>
      </w:tr>
    </w:tbl>
    <w:p>
      <w:pPr>
        <w:pStyle w:val="Heading2"/>
      </w:pPr>
      <w:r>
        <w:rPr>
          <w:rFonts w:ascii="Times New Roman" w:hAnsi="Times New Roman"/>
          <w:color w:val="000000"/>
        </w:rPr>
        <w:t>4. Emisiones estimadas por etapa y escenario</w:t>
      </w:r>
    </w:p>
    <w:p>
      <w:pPr>
        <w:spacing w:line="240" w:lineRule="auto" w:before="0" w:after="0"/>
        <w:ind w:left="100" w:firstLine="719"/>
        <w:jc w:val="both"/>
      </w:pPr>
      <w:r>
        <w:rPr>
          <w:rFonts w:ascii="Times New Roman" w:hAnsi="Times New Roman"/>
          <w:sz w:val="24"/>
        </w:rPr>
        <w:t>Las emisiones consolidadas muestran diferencias entre escenarios y sustancias. El Escenario A presentó 151,99 kg CH₄/año, 3,11 kg N₂O/año, 24,91 kg NH₃/año, 90,82 kg NO₃⁻/año y 123,70 kg CO₂/año. El Escenario B presentó 413,11 kg CH₄/año, 1,33 kg N₂O/año, 29,01 kg NH₃/año y 105,74 kg NO₃⁻/año.</w:t>
      </w:r>
    </w:p>
    <w:p>
      <w:pPr>
        <w:spacing w:line="240" w:lineRule="auto" w:before="0" w:after="0"/>
        <w:ind w:left="100" w:firstLine="719"/>
        <w:jc w:val="both"/>
      </w:pPr>
      <w:r>
        <w:rPr>
          <w:rFonts w:ascii="Times New Roman" w:hAnsi="Times New Roman"/>
          <w:sz w:val="24"/>
        </w:rPr>
        <w:t>B1: Almacenamiento de purines presentó la mayor contribución de CH₄. A1: Precomposteo presentó la mayor emisión de N₂O. A2: Lombricompostaje reportó CO₂ mediante un factor experimental publicado. La Tabla 4 resume las emisiones anuales por escenario y sustancia, y la Figura 4 presenta las emisiones de CH₄ por etapa.</w:t>
      </w:r>
    </w:p>
    <w:p>
      <w:pPr>
        <w:spacing w:line="240" w:lineRule="auto" w:before="0" w:after="0"/>
        <w:ind w:left="100" w:firstLine="719"/>
        <w:jc w:val="both"/>
      </w:pPr>
      <w:r>
        <w:rPr>
          <w:rFonts w:ascii="Times New Roman" w:hAnsi="Times New Roman"/>
          <w:sz w:val="24"/>
        </w:rPr>
        <w:t>La Tabla R5 del bloque de apéndices internos, Emisiones completas por etapa, presenta la desagregación por sustancia, escenario y etapa. Además, el Apéndice R9, Figuras complementarias, reúne las representaciones gráficas que respaldan la interpretación de la caracterización, los flujos, las emisiones y la comparación de escenarios.</w:t>
      </w:r>
    </w:p>
    <w:p>
      <w:pPr>
        <w:pStyle w:val="Rótuloacadémico"/>
      </w:pPr>
      <w:r>
        <w:rPr>
          <w:rFonts w:ascii="Times New Roman" w:hAnsi="Times New Roman"/>
          <w:b/>
          <w:color w:val="000000"/>
        </w:rPr>
        <w:t>Tabla 4</w:t>
      </w:r>
    </w:p>
    <w:p>
      <w:pPr>
        <w:pStyle w:val="Descripciónacadémica"/>
      </w:pPr>
      <w:r>
        <w:rPr>
          <w:rFonts w:ascii="Times New Roman" w:hAnsi="Times New Roman"/>
          <w:i/>
          <w:color w:val="000000"/>
        </w:rPr>
        <w:t>Emisiones anuales por escenario y sustancia.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CH₄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N₂O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NH₃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NO₃⁻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CO₂ (kg/año)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151,99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24,91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90,82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123,7</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413,11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105,74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bl>
    <w:p>
      <w:pPr>
        <w:pStyle w:val="Rótuloacadémico"/>
      </w:pPr>
      <w:r>
        <w:rPr>
          <w:rFonts w:ascii="Times New Roman" w:hAnsi="Times New Roman"/>
          <w:b/>
          <w:color w:val="000000"/>
        </w:rPr>
        <w:t>Figura 4</w:t>
      </w:r>
    </w:p>
    <w:p>
      <w:pPr>
        <w:pStyle w:val="Descripciónacadémica"/>
      </w:pPr>
      <w:r>
        <w:rPr>
          <w:rFonts w:ascii="Times New Roman" w:hAnsi="Times New Roman"/>
          <w:i/>
          <w:color w:val="000000"/>
        </w:rPr>
        <w:t>Emisiones anuales de CH₄ por etapa y escenario.</w:t>
      </w:r>
    </w:p>
    <w:p>
      <w:pPr>
        <w:ind w:left="0" w:firstLine="0"/>
        <w:jc w:val="center"/>
      </w:pPr>
      <w:r>
        <w:drawing>
          <wp:inline xmlns:a="http://schemas.openxmlformats.org/drawingml/2006/main" xmlns:pic="http://schemas.openxmlformats.org/drawingml/2006/picture">
            <wp:extent cx="5669280" cy="3889390"/>
            <wp:docPr id="4" name="Picture 4"/>
            <wp:cNvGraphicFramePr>
              <a:graphicFrameLocks noChangeAspect="1"/>
            </wp:cNvGraphicFramePr>
            <a:graphic>
              <a:graphicData uri="http://schemas.openxmlformats.org/drawingml/2006/picture">
                <pic:pic>
                  <pic:nvPicPr>
                    <pic:cNvPr id="0" name="fig_06_emisiones_ch4.png"/>
                    <pic:cNvPicPr/>
                  </pic:nvPicPr>
                  <pic:blipFill>
                    <a:blip r:embed="rId12"/>
                    <a:stretch>
                      <a:fillRect/>
                    </a:stretch>
                  </pic:blipFill>
                  <pic:spPr>
                    <a:xfrm>
                      <a:off x="0" y="0"/>
                      <a:ext cx="5669280" cy="3889390"/>
                    </a:xfrm>
                    <a:prstGeom prst="rect"/>
                  </pic:spPr>
                </pic:pic>
              </a:graphicData>
            </a:graphic>
          </wp:inline>
        </w:drawing>
      </w:r>
    </w:p>
    <w:p>
      <w:pPr>
        <w:pStyle w:val="Heading2"/>
      </w:pPr>
      <w:r>
        <w:rPr>
          <w:rFonts w:ascii="Times New Roman" w:hAnsi="Times New Roman"/>
          <w:color w:val="000000"/>
        </w:rPr>
        <w:t>5. Impactos ambientales por etapa</w:t>
      </w:r>
    </w:p>
    <w:p>
      <w:pPr>
        <w:spacing w:line="240" w:lineRule="auto" w:before="0" w:after="0"/>
        <w:ind w:left="100" w:firstLine="719"/>
        <w:jc w:val="both"/>
      </w:pPr>
      <w:r>
        <w:rPr>
          <w:rFonts w:ascii="Times New Roman" w:hAnsi="Times New Roman"/>
          <w:sz w:val="24"/>
        </w:rPr>
        <w:t>Los impactos ambientales por etapa mostraron que B1: Almacenamiento de purines concentró 98,03 % del calentamiento global del Escenario B, con 8 908,477683 kg CO₂-eq/año. En el Escenario A, A3: Almacenamiento de aguas verdes aportó 69,36 % del total de esta categoría.</w:t>
      </w:r>
    </w:p>
    <w:p>
      <w:pPr>
        <w:spacing w:line="240" w:lineRule="auto" w:before="0" w:after="0"/>
        <w:ind w:left="100" w:firstLine="719"/>
        <w:jc w:val="both"/>
      </w:pPr>
      <w:r>
        <w:rPr>
          <w:rFonts w:ascii="Times New Roman" w:hAnsi="Times New Roman"/>
          <w:sz w:val="24"/>
        </w:rPr>
        <w:t>Para eutrofización, B1: Almacenamiento de purines presentó la mayor contribución del Escenario B, con 70,55 % de su total; en el Escenario A, A1: Precomposteo concentró 52,45 %. A2: Lombricompostaje registró 0 kg PO₄-eq/año porque no presenta emisiones de NH₃ ni NO₃⁻ en el inventario de esa etapa. La Tabla 5 resume los impactos por etapa; la Figura 5 presenta calentamiento global y la Figura 6 presenta eutrofización.</w:t>
      </w:r>
    </w:p>
    <w:p>
      <w:pPr>
        <w:spacing w:line="240" w:lineRule="auto" w:before="0" w:after="0"/>
        <w:ind w:left="100" w:firstLine="719"/>
        <w:jc w:val="both"/>
      </w:pPr>
      <w:r>
        <w:rPr>
          <w:rFonts w:ascii="Times New Roman" w:hAnsi="Times New Roman"/>
          <w:sz w:val="24"/>
        </w:rPr>
        <w:t>En B1: Almacenamiento de purines, la lixiviación explícita utilizada para estimar N₂O indirecto fue nula. No obstante, bajo el supuesto de especiación adoptado, el conjunto de N potencialmente eutrofizante se distribuyó en partes iguales como N asociado a NH₃ y a NO₃⁻. Por ello, los 74,604113 kg NO₃⁻/año registrados para B1 representan NO₃⁻ equivalente derivado de esa asignación y no evidencia de lixiviación física directa.</w:t>
      </w:r>
    </w:p>
    <w:p>
      <w:pPr>
        <w:spacing w:line="240" w:lineRule="auto" w:before="0" w:after="0"/>
        <w:ind w:left="100" w:firstLine="719"/>
        <w:jc w:val="both"/>
      </w:pPr>
      <w:r>
        <w:rPr>
          <w:rFonts w:ascii="Times New Roman" w:hAnsi="Times New Roman"/>
          <w:sz w:val="24"/>
        </w:rPr>
        <w:t>Los factores de caracterización para calentamiento global se referencian al IMN (2021), mientras que los factores de eutrofización se basan en Ecobilan (1999, como se citó en Vallejo, 2004).</w:t>
      </w:r>
    </w:p>
    <w:p>
      <w:pPr>
        <w:spacing w:line="240" w:lineRule="auto" w:before="0" w:after="0"/>
        <w:ind w:left="100" w:firstLine="719"/>
        <w:jc w:val="both"/>
      </w:pPr>
      <w:r>
        <w:rPr>
          <w:rFonts w:ascii="Times New Roman" w:hAnsi="Times New Roman"/>
          <w:sz w:val="24"/>
        </w:rPr>
        <w:t>La Tabla R6 del bloque de apéndices internos, Impactos completos por etapa, presenta los resultados desagregados por categoría de impacto.</w:t>
      </w:r>
    </w:p>
    <w:p>
      <w:pPr>
        <w:pStyle w:val="Rótuloacadémico"/>
      </w:pPr>
      <w:r>
        <w:rPr>
          <w:rFonts w:ascii="Times New Roman" w:hAnsi="Times New Roman"/>
          <w:b/>
          <w:color w:val="000000"/>
        </w:rPr>
        <w:t>Tabla 5</w:t>
      </w:r>
    </w:p>
    <w:p>
      <w:pPr>
        <w:pStyle w:val="Descripciónacadémica"/>
      </w:pPr>
      <w:r>
        <w:rPr>
          <w:rFonts w:ascii="Times New Roman" w:hAnsi="Times New Roman"/>
          <w:i/>
          <w:color w:val="000000"/>
        </w:rPr>
        <w:t>Impactos ambientales por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Calentamiento global (kg CO₂-eq/año)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(kg PO₄-eq/año)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888,56</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9,1</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317,28</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2 967,48</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4,75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105,12</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8 908,48</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14,25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178,57</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5,95</w:t>
            </w:r>
          </w:p>
        </w:tc>
      </w:tr>
    </w:tbl>
    <w:p>
      <w:pPr>
        <w:pStyle w:val="Rótuloacadémico"/>
      </w:pPr>
      <w:r>
        <w:rPr>
          <w:rFonts w:ascii="Times New Roman" w:hAnsi="Times New Roman"/>
          <w:b/>
          <w:color w:val="000000"/>
        </w:rPr>
        <w:t>Figura 5</w:t>
      </w:r>
    </w:p>
    <w:p>
      <w:pPr>
        <w:pStyle w:val="Descripciónacadémica"/>
      </w:pPr>
      <w:r>
        <w:rPr>
          <w:rFonts w:ascii="Times New Roman" w:hAnsi="Times New Roman"/>
          <w:i/>
          <w:color w:val="000000"/>
        </w:rPr>
        <w:t>Potencial de calentamiento global por etapa y escenario.</w:t>
      </w:r>
    </w:p>
    <w:p>
      <w:pPr>
        <w:ind w:left="0" w:firstLine="0"/>
        <w:jc w:val="center"/>
      </w:pPr>
      <w:r>
        <w:drawing>
          <wp:inline xmlns:a="http://schemas.openxmlformats.org/drawingml/2006/main" xmlns:pic="http://schemas.openxmlformats.org/drawingml/2006/picture">
            <wp:extent cx="5669280" cy="2717699"/>
            <wp:docPr id="5" name="Picture 5"/>
            <wp:cNvGraphicFramePr>
              <a:graphicFrameLocks noChangeAspect="1"/>
            </wp:cNvGraphicFramePr>
            <a:graphic>
              <a:graphicData uri="http://schemas.openxmlformats.org/drawingml/2006/picture">
                <pic:pic>
                  <pic:nvPicPr>
                    <pic:cNvPr id="0" name="fig_11_impactos_calentamiento_global_etapa.png"/>
                    <pic:cNvPicPr/>
                  </pic:nvPicPr>
                  <pic:blipFill>
                    <a:blip r:embed="rId13"/>
                    <a:stretch>
                      <a:fillRect/>
                    </a:stretch>
                  </pic:blipFill>
                  <pic:spPr>
                    <a:xfrm>
                      <a:off x="0" y="0"/>
                      <a:ext cx="5669280" cy="2717699"/>
                    </a:xfrm>
                    <a:prstGeom prst="rect"/>
                  </pic:spPr>
                </pic:pic>
              </a:graphicData>
            </a:graphic>
          </wp:inline>
        </w:drawing>
      </w:r>
    </w:p>
    <w:p>
      <w:pPr>
        <w:pStyle w:val="Rótuloacadémico"/>
      </w:pPr>
      <w:r>
        <w:rPr>
          <w:rFonts w:ascii="Times New Roman" w:hAnsi="Times New Roman"/>
          <w:b/>
          <w:color w:val="000000"/>
        </w:rPr>
        <w:t>Figura 6</w:t>
      </w:r>
    </w:p>
    <w:p>
      <w:pPr>
        <w:pStyle w:val="Descripciónacadémica"/>
      </w:pPr>
      <w:r>
        <w:rPr>
          <w:rFonts w:ascii="Times New Roman" w:hAnsi="Times New Roman"/>
          <w:i/>
          <w:color w:val="000000"/>
        </w:rPr>
        <w:t>Potencial de eutrofización por etapa y escenario.</w:t>
      </w:r>
    </w:p>
    <w:p>
      <w:pPr>
        <w:ind w:left="0" w:firstLine="0"/>
        <w:jc w:val="center"/>
      </w:pPr>
      <w:r>
        <w:drawing>
          <wp:inline xmlns:a="http://schemas.openxmlformats.org/drawingml/2006/main" xmlns:pic="http://schemas.openxmlformats.org/drawingml/2006/picture">
            <wp:extent cx="5669280" cy="2717699"/>
            <wp:docPr id="6" name="Picture 6"/>
            <wp:cNvGraphicFramePr>
              <a:graphicFrameLocks noChangeAspect="1"/>
            </wp:cNvGraphicFramePr>
            <a:graphic>
              <a:graphicData uri="http://schemas.openxmlformats.org/drawingml/2006/picture">
                <pic:pic>
                  <pic:nvPicPr>
                    <pic:cNvPr id="0" name="fig_12_impactos_eutrofizacion_etapa.png"/>
                    <pic:cNvPicPr/>
                  </pic:nvPicPr>
                  <pic:blipFill>
                    <a:blip r:embed="rId14"/>
                    <a:stretch>
                      <a:fillRect/>
                    </a:stretch>
                  </pic:blipFill>
                  <pic:spPr>
                    <a:xfrm>
                      <a:off x="0" y="0"/>
                      <a:ext cx="5669280" cy="2717699"/>
                    </a:xfrm>
                    <a:prstGeom prst="rect"/>
                  </pic:spPr>
                </pic:pic>
              </a:graphicData>
            </a:graphic>
          </wp:inline>
        </w:drawing>
      </w:r>
    </w:p>
    <w:p>
      <w:pPr>
        <w:pStyle w:val="Heading2"/>
      </w:pPr>
      <w:r>
        <w:rPr>
          <w:rFonts w:ascii="Times New Roman" w:hAnsi="Times New Roman"/>
          <w:color w:val="000000"/>
        </w:rPr>
        <w:t>6. Impactos totales por escenario</w:t>
      </w:r>
    </w:p>
    <w:p>
      <w:pPr>
        <w:spacing w:line="240" w:lineRule="auto" w:before="0" w:after="0"/>
        <w:ind w:left="100" w:firstLine="719"/>
        <w:jc w:val="both"/>
      </w:pPr>
      <w:r>
        <w:rPr>
          <w:rFonts w:ascii="Times New Roman" w:hAnsi="Times New Roman"/>
          <w:sz w:val="24"/>
        </w:rPr>
        <w:t>El Escenario A alcanzó 4 278,43408 kg CO₂-eq/año para calentamiento global y 17,346687 kg PO₄-eq/año para eutrofización. El Escenario B alcanzó 9 087,048109 kg CO₂-eq/año y 20,197495 kg PO₄-eq/año, respectivamente.</w:t>
      </w:r>
    </w:p>
    <w:p>
      <w:pPr>
        <w:spacing w:line="240" w:lineRule="auto" w:before="0" w:after="0"/>
        <w:ind w:left="100" w:firstLine="719"/>
        <w:jc w:val="both"/>
      </w:pPr>
      <w:r>
        <w:rPr>
          <w:rFonts w:ascii="Times New Roman" w:hAnsi="Times New Roman"/>
          <w:sz w:val="24"/>
        </w:rPr>
        <w:t>Respecto a la unidad funcional, los indicadores del Escenario A fueron 0,162809803 kg CO₂-eq/kg de estiércol fresco y 0,000660104 kg PO₄-eq/kg de estiércol fresco. Para el Escenario B fueron 0,345794861 kg CO₂-eq/kg y 0,000768587 kg PO₄-eq/kg de estiércol fresco.</w:t>
      </w:r>
    </w:p>
    <w:p>
      <w:pPr>
        <w:spacing w:line="240" w:lineRule="auto" w:before="0" w:after="0"/>
        <w:ind w:left="100" w:firstLine="719"/>
        <w:jc w:val="both"/>
      </w:pPr>
      <w:r>
        <w:rPr>
          <w:rFonts w:ascii="Times New Roman" w:hAnsi="Times New Roman"/>
          <w:sz w:val="24"/>
        </w:rPr>
        <w:t>La Tabla 6 distingue los resultados anualizados, que representan la magnitud operacional, de los resultados normalizados respecto a 1 kg de estiércol fresco manejado.</w:t>
      </w:r>
    </w:p>
    <w:p>
      <w:pPr>
        <w:spacing w:line="240" w:lineRule="auto" w:before="0" w:after="0"/>
        <w:ind w:left="100" w:firstLine="719"/>
        <w:jc w:val="both"/>
      </w:pPr>
      <w:r>
        <w:rPr>
          <w:rFonts w:ascii="Times New Roman" w:hAnsi="Times New Roman"/>
          <w:sz w:val="24"/>
        </w:rPr>
        <w:t>La Tabla R7 del bloque de apéndices internos, Impactos totales completos por escenario, presenta el detalle de la agregación utilizada en esta comparación.</w:t>
      </w:r>
    </w:p>
    <w:p>
      <w:pPr>
        <w:pStyle w:val="Rótuloacadémico"/>
      </w:pPr>
      <w:r>
        <w:rPr>
          <w:rFonts w:ascii="Times New Roman" w:hAnsi="Times New Roman"/>
          <w:b/>
          <w:color w:val="000000"/>
        </w:rPr>
        <w:t>Tabla 6</w:t>
      </w:r>
    </w:p>
    <w:p>
      <w:pPr>
        <w:pStyle w:val="Descripciónacadémica"/>
      </w:pPr>
      <w:r>
        <w:rPr>
          <w:rFonts w:ascii="Times New Roman" w:hAnsi="Times New Roman"/>
          <w:i/>
          <w:color w:val="000000"/>
        </w:rPr>
        <w:t>Impactos ambientales totales y normalizados por escenario.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Calentamiento global (kg CO₂-eq/año)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(kg PO₄-eq/año)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Calentamiento global (kg CO₂-eq/kg de estiércol fresco)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(kg PO₄-eq/kg de estiércol fresco)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4 278,43408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17,346687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0,16281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0,00066</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9 087,048109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20,197495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0,345795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0,000769</w:t>
            </w:r>
          </w:p>
        </w:tc>
      </w:tr>
    </w:tbl>
    <w:p>
      <w:pPr>
        <w:pStyle w:val="Heading2"/>
      </w:pPr>
      <w:r>
        <w:rPr>
          <w:rFonts w:ascii="Times New Roman" w:hAnsi="Times New Roman"/>
          <w:color w:val="000000"/>
        </w:rPr>
        <w:t>7. Comparación entre escenarios</w:t>
      </w:r>
    </w:p>
    <w:p>
      <w:pPr>
        <w:spacing w:line="240" w:lineRule="auto" w:before="0" w:after="0"/>
        <w:ind w:left="100" w:firstLine="719"/>
        <w:jc w:val="both"/>
      </w:pPr>
      <w:r>
        <w:rPr>
          <w:rFonts w:ascii="Times New Roman" w:hAnsi="Times New Roman"/>
          <w:sz w:val="24"/>
        </w:rPr>
        <w:t>La comparación bajo la misma unidad funcional mostró un mayor impacto de calentamiento global en el Escenario B. La diferencia B menos A fue de 4 808,614029 kg CO₂-eq/año, equivalente a 112,39 % respecto al Escenario A.</w:t>
      </w:r>
    </w:p>
    <w:p>
      <w:pPr>
        <w:spacing w:line="240" w:lineRule="auto" w:before="0" w:after="0"/>
        <w:ind w:left="100" w:firstLine="719"/>
        <w:jc w:val="both"/>
      </w:pPr>
      <w:r>
        <w:rPr>
          <w:rFonts w:ascii="Times New Roman" w:hAnsi="Times New Roman"/>
          <w:sz w:val="24"/>
        </w:rPr>
        <w:t>En eutrofización, el Escenario B superó al Escenario A en 2,850808 kg PO₄-eq/año, equivalente a 16,43 %. La Tabla 7 resume la comparación y la Figura 7 presenta la diferencia porcentual por categoría de impacto.</w:t>
      </w:r>
    </w:p>
    <w:p>
      <w:pPr>
        <w:spacing w:line="240" w:lineRule="auto" w:before="0" w:after="0"/>
        <w:ind w:left="100" w:firstLine="719"/>
        <w:jc w:val="both"/>
      </w:pPr>
      <w:r>
        <w:rPr>
          <w:rFonts w:ascii="Times New Roman" w:hAnsi="Times New Roman"/>
          <w:sz w:val="24"/>
        </w:rPr>
        <w:t>La Tabla R8 del bloque de apéndices internos, Comparación completa de escenarios, amplía las diferencias absolutas y porcentuales. La relación entre los contenidos, sus bases de información y las figuras asociadas se documenta en el Apéndice R10, Correspondencia entre tablas, figuras y archivos fuente.</w:t>
      </w:r>
    </w:p>
    <w:p>
      <w:pPr>
        <w:pStyle w:val="Rótuloacadémico"/>
      </w:pPr>
      <w:r>
        <w:rPr>
          <w:rFonts w:ascii="Times New Roman" w:hAnsi="Times New Roman"/>
          <w:b/>
          <w:color w:val="000000"/>
        </w:rPr>
        <w:t>Tabla 7</w:t>
      </w:r>
    </w:p>
    <w:p>
      <w:pPr>
        <w:pStyle w:val="Descripciónacadémica"/>
      </w:pPr>
      <w:r>
        <w:rPr>
          <w:rFonts w:ascii="Times New Roman" w:hAnsi="Times New Roman"/>
          <w:i/>
          <w:color w:val="000000"/>
        </w:rPr>
        <w:t>Comparación de impactos ambientales entre escenarios.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absoluta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porcentual B respecto a 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con mayor impacto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4 278,434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9 087,048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4 808,614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112,39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17,347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20,197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2,851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16,43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bl>
    <w:p>
      <w:pPr>
        <w:pStyle w:val="Rótuloacadémico"/>
      </w:pPr>
      <w:r>
        <w:rPr>
          <w:rFonts w:ascii="Times New Roman" w:hAnsi="Times New Roman"/>
          <w:b/>
          <w:color w:val="000000"/>
        </w:rPr>
        <w:t>Figura 7</w:t>
      </w:r>
    </w:p>
    <w:p>
      <w:pPr>
        <w:pStyle w:val="Descripciónacadémica"/>
      </w:pPr>
      <w:r>
        <w:rPr>
          <w:rFonts w:ascii="Times New Roman" w:hAnsi="Times New Roman"/>
          <w:i/>
          <w:color w:val="000000"/>
        </w:rPr>
        <w:t>Diferencia porcentual del Escenario B respecto al Escenario A por categoría de impacto.</w:t>
      </w:r>
    </w:p>
    <w:p>
      <w:pPr>
        <w:ind w:left="0" w:firstLine="0"/>
        <w:jc w:val="center"/>
      </w:pPr>
      <w:r>
        <w:drawing>
          <wp:inline xmlns:a="http://schemas.openxmlformats.org/drawingml/2006/main" xmlns:pic="http://schemas.openxmlformats.org/drawingml/2006/picture">
            <wp:extent cx="5669280" cy="4092512"/>
            <wp:docPr id="7" name="Picture 7"/>
            <wp:cNvGraphicFramePr>
              <a:graphicFrameLocks noChangeAspect="1"/>
            </wp:cNvGraphicFramePr>
            <a:graphic>
              <a:graphicData uri="http://schemas.openxmlformats.org/drawingml/2006/picture">
                <pic:pic>
                  <pic:nvPicPr>
                    <pic:cNvPr id="0" name="fig_15_comparacion_diferencia_porcentual.png"/>
                    <pic:cNvPicPr/>
                  </pic:nvPicPr>
                  <pic:blipFill>
                    <a:blip r:embed="rId15"/>
                    <a:stretch>
                      <a:fillRect/>
                    </a:stretch>
                  </pic:blipFill>
                  <pic:spPr>
                    <a:xfrm>
                      <a:off x="0" y="0"/>
                      <a:ext cx="5669280" cy="4092512"/>
                    </a:xfrm>
                    <a:prstGeom prst="rect"/>
                  </pic:spPr>
                </pic:pic>
              </a:graphicData>
            </a:graphic>
          </wp:inline>
        </w:drawing>
      </w:r>
    </w:p>
    <w:p>
      <w:pPr>
        <w:pStyle w:val="Heading1"/>
      </w:pPr>
      <w:r>
        <w:rPr>
          <w:rFonts w:ascii="Times New Roman" w:hAnsi="Times New Roman"/>
          <w:color w:val="000000"/>
        </w:rPr>
        <w:t>Apéndices internos de resultados</w:t>
      </w:r>
    </w:p>
    <w:p>
      <w:pPr>
        <w:spacing w:line="240" w:lineRule="auto" w:before="0" w:after="0"/>
        <w:ind w:left="100" w:firstLine="719"/>
        <w:jc w:val="both"/>
      </w:pPr>
      <w:r>
        <w:rPr>
          <w:rFonts w:ascii="Times New Roman" w:hAnsi="Times New Roman"/>
          <w:sz w:val="24"/>
        </w:rPr>
        <w:t>Los apéndices internos contienen las Tablas R1, R2, R3, R4, R5, R6, R7 y R8, las Figuras R1 a R8 y la Tabla R10 de correspondencia. Las figuras complementarias de emisiones de N₂O, NH₃, NO₃⁻ y CO₂ respaldan la interpretación de las emisiones por sustancia.</w:t>
      </w:r>
    </w:p>
    <w:p>
      <w:pPr>
        <w:pStyle w:val="Rótuloacadémico"/>
      </w:pPr>
      <w:r>
        <w:rPr>
          <w:rFonts w:ascii="Times New Roman" w:hAnsi="Times New Roman"/>
          <w:b/>
          <w:color w:val="000000"/>
        </w:rPr>
        <w:t>Tabla R1</w:t>
      </w:r>
    </w:p>
    <w:p>
      <w:pPr>
        <w:pStyle w:val="Descripciónacadémica"/>
      </w:pPr>
      <w:r>
        <w:rPr>
          <w:rFonts w:ascii="Times New Roman" w:hAnsi="Times New Roman"/>
          <w:i/>
          <w:color w:val="000000"/>
        </w:rPr>
        <w:t>Caracterización completa de muestras.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064"/>
        <w:gridCol w:w="1064"/>
        <w:gridCol w:w="1064"/>
        <w:gridCol w:w="1064"/>
        <w:gridCol w:w="1064"/>
        <w:gridCol w:w="1064"/>
        <w:gridCol w:w="1064"/>
        <w:gridCol w:w="1064"/>
        <w:gridCol w:w="1064"/>
      </w:tblGrid>
      <w:tr>
        <w:trPr>
          <w:cantSplit/>
          <w:tblHeader w:val="true"/>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material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Material analizado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Jornada de muestreo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Número de muestras de sólidos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Número de muestras de nitrógeno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Desviación estándar</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2025-11-10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Humedad</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85,7698</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0,6205</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2025-11-10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14,2302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0,6205</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2025-11-10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Cenizas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14,123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0,6677</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2025-11-10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85,877</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0,6677</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2025-11-10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0,3717</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2025-11-10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3 716,6667</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mg N/kg muestra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2025-11-10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Humedad</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77,593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3,9269</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2025-11-10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22,407</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3,9269</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2025-11-10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Cenizas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29,0414</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4,256</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2025-11-10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70,9586</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4,256</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2025-11-10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2,425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2025-11-10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24 250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mg N/kg muestra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bl>
    <w:p>
      <w:pPr>
        <w:pStyle w:val="Rótuloacadémico"/>
      </w:pPr>
      <w:r>
        <w:rPr>
          <w:rFonts w:ascii="Times New Roman" w:hAnsi="Times New Roman"/>
          <w:b/>
          <w:color w:val="000000"/>
        </w:rPr>
        <w:t>Tabla R2</w:t>
      </w:r>
    </w:p>
    <w:p>
      <w:pPr>
        <w:pStyle w:val="Descripciónacadémica"/>
      </w:pPr>
      <w:r>
        <w:rPr>
          <w:rFonts w:ascii="Times New Roman" w:hAnsi="Times New Roman"/>
          <w:i/>
          <w:color w:val="000000"/>
        </w:rPr>
        <w:t>Flujos completos del inventario.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Flujo o material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0,3088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sólida precompostada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5 412,5045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5 412,5045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0,3088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asociada a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0,3088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250 572,5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0,3088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 almacenado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0,3088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Boñiga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250 572,5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0,3088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bl>
    <w:p>
      <w:pPr>
        <w:pStyle w:val="Rótuloacadémico"/>
      </w:pPr>
      <w:r>
        <w:rPr>
          <w:rFonts w:ascii="Times New Roman" w:hAnsi="Times New Roman"/>
          <w:b/>
          <w:color w:val="000000"/>
        </w:rPr>
        <w:t>Tabla R3</w:t>
      </w:r>
    </w:p>
    <w:p>
      <w:pPr>
        <w:pStyle w:val="Descripciónacadémica"/>
      </w:pPr>
      <w:r>
        <w:rPr>
          <w:rFonts w:ascii="Times New Roman" w:hAnsi="Times New Roman"/>
          <w:i/>
          <w:color w:val="000000"/>
        </w:rPr>
        <w:t>Parámetros completos del modelo ACV.</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064"/>
        <w:gridCol w:w="1064"/>
        <w:gridCol w:w="1064"/>
        <w:gridCol w:w="1064"/>
        <w:gridCol w:w="1064"/>
        <w:gridCol w:w="1064"/>
        <w:gridCol w:w="1064"/>
        <w:gridCol w:w="1064"/>
        <w:gridCol w:w="1064"/>
      </w:tblGrid>
      <w:tr>
        <w:trPr>
          <w:cantSplit/>
          <w:tblHeader w:val="true"/>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material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Modelo de cálculo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u origen previo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Parámetro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 de cálculo de la etapa</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0,3717</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0,0037</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85,877</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2,425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experimentales publicados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experimentales publicados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70,9586</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experimentales publicados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5 412,5045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experimentales publicados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experimentales publicados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experimentales publicados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experimentales publicados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experimentales publicados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0,3717</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0,0037</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85,877</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0,0072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0,3717</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0,0037</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85,877</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0,0114</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bl>
    <w:p>
      <w:pPr>
        <w:pStyle w:val="Rótuloacadémico"/>
      </w:pPr>
      <w:r>
        <w:rPr>
          <w:rFonts w:ascii="Times New Roman" w:hAnsi="Times New Roman"/>
          <w:b/>
          <w:color w:val="000000"/>
        </w:rPr>
        <w:t>Tabla R4</w:t>
      </w:r>
    </w:p>
    <w:p>
      <w:pPr>
        <w:pStyle w:val="Descripciónacadémica"/>
      </w:pPr>
      <w:r>
        <w:rPr>
          <w:rFonts w:ascii="Times New Roman" w:hAnsi="Times New Roman"/>
          <w:i/>
          <w:color w:val="000000"/>
        </w:rPr>
        <w:t>Factores completos de emisión y caracterización.</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o compuesto evaluado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líquido tipo purín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líquido tipo purín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líquido tipo purín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líquido tipo purín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emision Factor Factor medido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Factor medido CO₂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0,102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CO₂/kg residuo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Jjagwe et al. (2019)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emision Factor Factor medido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Factor medido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CH₄/kg residuo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Jjagwe et al. (2019)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emision Factor Factor medido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Factor medido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N₂O/kg residuo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Jjagwe et al. (2019)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eutrofizacion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Ecobilan (1999, como se citó en Vallejo, 2004)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eutrofizacion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Ecobilan (1999, como se citó en Vallejo, 2004)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B0 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m³ CH₄/kg SV</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ecuación de estimación de CH₄</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del modelo con estructura 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unidad o cabeza equivalente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 unidad equivalente del modelo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cdg</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 ausencia de codigestión</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ecuación 14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NH₃-N + NOx-N volatilizado)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ecuaciones 5 y 16</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 lixiviado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ecuaciones 6 y 18</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 gasm</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ecuación 16</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 leach h</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ecuación 18</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 N2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N2-N/kg N₂O-N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ecuación 24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N₂O-N a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1,5714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N₂O/kg N₂O-N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 a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1,2143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 a 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4,4268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 4 eq</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2 O eq</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 3 eq</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Ecobilan (1999, como se citó en Vallejo, 2004)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3 eq</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Ecobilan (1999, como se citó en Vallejo, 2004)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 kg por kg residuo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0,102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CO₂/kg residuo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Jjagwe et al. (2019)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kg por kg residuo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CH₄/kg residuo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Jjagwe et al. (2019)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kg por kg residuo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N₂O/kg residuo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Jjagwe et al. (2019)</w:t>
            </w:r>
          </w:p>
        </w:tc>
      </w:tr>
    </w:tbl>
    <w:p>
      <w:pPr>
        <w:pStyle w:val="Rótuloacadémico"/>
      </w:pPr>
      <w:r>
        <w:rPr>
          <w:rFonts w:ascii="Times New Roman" w:hAnsi="Times New Roman"/>
          <w:b/>
          <w:color w:val="000000"/>
        </w:rPr>
        <w:t>Tabla R5</w:t>
      </w:r>
    </w:p>
    <w:p>
      <w:pPr>
        <w:pStyle w:val="Descripciónacadémica"/>
      </w:pPr>
      <w:r>
        <w:rPr>
          <w:rFonts w:ascii="Times New Roman" w:hAnsi="Times New Roman"/>
          <w:i/>
          <w:color w:val="000000"/>
        </w:rPr>
        <w:t>Emisiones completas por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Sustancia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Emisión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Masa equivalente total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5,1656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gestion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2,0471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0,4299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0,0394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13,0667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47,6358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Dioxido de carbono Factor Factor medido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123,7033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5 412,5045</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9,2171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5 412,5045</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gestion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5 412,5045</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5 412,5045</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5 412,5045</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5 412,5045</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5 412,5045</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137,6103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gestion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0,2505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6,8168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24,8511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entradas de N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0,1757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deposicion atmosferica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0,0861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0,0773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desde suelos gestionados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5,0281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desde suelos gestionados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18,3304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413,1115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gestion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0,7521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20,4642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74,6041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entradas de N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0,2985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deposicion atmosferica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0,1462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0,1313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desde suelos gestionados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8,5414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desde suelos gestionados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31,1385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r>
    </w:tbl>
    <w:p>
      <w:pPr>
        <w:pStyle w:val="Rótuloacadémico"/>
      </w:pPr>
      <w:r>
        <w:rPr>
          <w:rFonts w:ascii="Times New Roman" w:hAnsi="Times New Roman"/>
          <w:b/>
          <w:color w:val="000000"/>
        </w:rPr>
        <w:t>Tabla R6</w:t>
      </w:r>
    </w:p>
    <w:p>
      <w:pPr>
        <w:pStyle w:val="Descripciónacadémica"/>
      </w:pPr>
      <w:r>
        <w:rPr>
          <w:rFonts w:ascii="Times New Roman" w:hAnsi="Times New Roman"/>
          <w:i/>
          <w:color w:val="000000"/>
        </w:rPr>
        <w:t>Impactos completos por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958"/>
        <w:gridCol w:w="958"/>
        <w:gridCol w:w="958"/>
        <w:gridCol w:w="958"/>
        <w:gridCol w:w="958"/>
        <w:gridCol w:w="958"/>
        <w:gridCol w:w="958"/>
        <w:gridCol w:w="958"/>
        <w:gridCol w:w="958"/>
        <w:gridCol w:w="958"/>
      </w:tblGrid>
      <w:tr>
        <w:trPr>
          <w:cantSplit/>
          <w:tblHeader w:val="true"/>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Emisión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 de emisión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 de caracterización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 del factor</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Resultado equivalente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 equivalente</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5,1656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108,4786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2,5164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780,0827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13,0667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4,5733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47,6358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4,5254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9,2171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193,5593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123,7033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123,7033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137,6103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2 889,8162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0,2505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77,6594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6,8168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2,3859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24,8511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2,3609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0,3391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105,1198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5,0281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1,7598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18,3304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1,7414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413,1115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8 675,3412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0,7521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233,1365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20,4642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7,1625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74,6041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7,0874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0,576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178,5704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8,5414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2,9895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31,1385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2,9582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bl>
    <w:p>
      <w:pPr>
        <w:pStyle w:val="Rótuloacadémico"/>
      </w:pPr>
      <w:r>
        <w:rPr>
          <w:rFonts w:ascii="Times New Roman" w:hAnsi="Times New Roman"/>
          <w:b/>
          <w:color w:val="000000"/>
        </w:rPr>
        <w:t>Tabla R7</w:t>
      </w:r>
    </w:p>
    <w:p>
      <w:pPr>
        <w:pStyle w:val="Descripciónacadémica"/>
      </w:pPr>
      <w:r>
        <w:rPr>
          <w:rFonts w:ascii="Times New Roman" w:hAnsi="Times New Roman"/>
          <w:i/>
          <w:color w:val="000000"/>
        </w:rPr>
        <w:t>Impactos totales completos por escenario.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Resultado total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4 278,4341</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17,3467</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9 087,0481</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20,1975</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bl>
    <w:p>
      <w:pPr>
        <w:pStyle w:val="Rótuloacadémico"/>
      </w:pPr>
      <w:r>
        <w:rPr>
          <w:rFonts w:ascii="Times New Roman" w:hAnsi="Times New Roman"/>
          <w:b/>
          <w:color w:val="000000"/>
        </w:rPr>
        <w:t>Tabla R8</w:t>
      </w:r>
    </w:p>
    <w:p>
      <w:pPr>
        <w:pStyle w:val="Descripciónacadémica"/>
      </w:pPr>
      <w:r>
        <w:rPr>
          <w:rFonts w:ascii="Times New Roman" w:hAnsi="Times New Roman"/>
          <w:i/>
          <w:color w:val="000000"/>
        </w:rPr>
        <w:t>Comparación completa de escenarios.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absoluta B − 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porcentual B respecto a 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con mayor impacto</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4 278,4341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9 087,0481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4 808,614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112,3919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17,3467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20,1975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2,8508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16,4343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bl>
    <w:p>
      <w:pPr>
        <w:pStyle w:val="Heading2"/>
      </w:pPr>
      <w:r>
        <w:rPr>
          <w:rFonts w:ascii="Times New Roman" w:hAnsi="Times New Roman"/>
          <w:color w:val="000000"/>
        </w:rPr>
        <w:t>Apéndice R9. Figuras complementarias</w:t>
      </w:r>
    </w:p>
    <w:p>
      <w:pPr>
        <w:spacing w:line="240" w:lineRule="auto" w:before="0" w:after="0"/>
        <w:ind w:left="100" w:firstLine="719"/>
        <w:jc w:val="both"/>
      </w:pPr>
      <w:r>
        <w:rPr>
          <w:rFonts w:ascii="Times New Roman" w:hAnsi="Times New Roman"/>
          <w:sz w:val="24"/>
        </w:rPr>
        <w:t>La Figura R1 complementa la caracterización de nitrógeno total; la Figura R2 complementa los flujos del inventario; la Figura R3 complementa las emisiones de N₂O; la Figura R4 complementa las emisiones de NH₃; la Figura R5 complementa las emisiones de NO₃⁻; la Figura R6 complementa las emisiones de CO₂; la Figura R7 complementa la comparación total de calentamiento global; y la Figura R8 complementa la comparación total de eutrofización.</w:t>
      </w:r>
    </w:p>
    <w:p>
      <w:pPr>
        <w:pStyle w:val="Rótuloacadémico"/>
      </w:pPr>
      <w:r>
        <w:rPr>
          <w:rFonts w:ascii="Times New Roman" w:hAnsi="Times New Roman"/>
          <w:b/>
          <w:color w:val="000000"/>
        </w:rPr>
        <w:t>Figura R1</w:t>
      </w:r>
    </w:p>
    <w:p>
      <w:pPr>
        <w:pStyle w:val="Descripciónacadémica"/>
      </w:pPr>
      <w:r>
        <w:rPr>
          <w:rFonts w:ascii="Times New Roman" w:hAnsi="Times New Roman"/>
          <w:i/>
          <w:color w:val="000000"/>
        </w:rPr>
        <w:t>Nitrógeno total promedio por tipo de muestra.</w:t>
      </w:r>
    </w:p>
    <w:p>
      <w:pPr>
        <w:ind w:left="0" w:firstLine="0"/>
        <w:jc w:val="center"/>
      </w:pPr>
      <w:r>
        <w:drawing>
          <wp:inline xmlns:a="http://schemas.openxmlformats.org/drawingml/2006/main" xmlns:pic="http://schemas.openxmlformats.org/drawingml/2006/picture">
            <wp:extent cx="5669280" cy="3962194"/>
            <wp:docPr id="8" name="Picture 8"/>
            <wp:cNvGraphicFramePr>
              <a:graphicFrameLocks noChangeAspect="1"/>
            </wp:cNvGraphicFramePr>
            <a:graphic>
              <a:graphicData uri="http://schemas.openxmlformats.org/drawingml/2006/picture">
                <pic:pic>
                  <pic:nvPicPr>
                    <pic:cNvPr id="0" name="fig_03_caracterizacion_nitrogeno_total.png"/>
                    <pic:cNvPicPr/>
                  </pic:nvPicPr>
                  <pic:blipFill>
                    <a:blip r:embed="rId16"/>
                    <a:stretch>
                      <a:fillRect/>
                    </a:stretch>
                  </pic:blipFill>
                  <pic:spPr>
                    <a:xfrm>
                      <a:off x="0" y="0"/>
                      <a:ext cx="5669280" cy="3962194"/>
                    </a:xfrm>
                    <a:prstGeom prst="rect"/>
                  </pic:spPr>
                </pic:pic>
              </a:graphicData>
            </a:graphic>
          </wp:inline>
        </w:drawing>
      </w:r>
    </w:p>
    <w:p>
      <w:pPr>
        <w:pStyle w:val="Rótuloacadémico"/>
      </w:pPr>
      <w:r>
        <w:rPr>
          <w:rFonts w:ascii="Times New Roman" w:hAnsi="Times New Roman"/>
          <w:b/>
          <w:color w:val="000000"/>
        </w:rPr>
        <w:t>Figura R2</w:t>
      </w:r>
    </w:p>
    <w:p>
      <w:pPr>
        <w:pStyle w:val="Descripciónacadémica"/>
      </w:pPr>
      <w:r>
        <w:rPr>
          <w:rFonts w:ascii="Times New Roman" w:hAnsi="Times New Roman"/>
          <w:i/>
          <w:color w:val="000000"/>
        </w:rPr>
        <w:t>Distribución de componentes del inventario por etapa.</w:t>
      </w:r>
    </w:p>
    <w:p>
      <w:pPr>
        <w:ind w:left="0" w:firstLine="0"/>
        <w:jc w:val="center"/>
      </w:pPr>
      <w:r>
        <w:drawing>
          <wp:inline xmlns:a="http://schemas.openxmlformats.org/drawingml/2006/main" xmlns:pic="http://schemas.openxmlformats.org/drawingml/2006/picture">
            <wp:extent cx="5669280" cy="3962432"/>
            <wp:docPr id="9" name="Picture 9"/>
            <wp:cNvGraphicFramePr>
              <a:graphicFrameLocks noChangeAspect="1"/>
            </wp:cNvGraphicFramePr>
            <a:graphic>
              <a:graphicData uri="http://schemas.openxmlformats.org/drawingml/2006/picture">
                <pic:pic>
                  <pic:nvPicPr>
                    <pic:cNvPr id="0" name="fig_05_flujos_distribucion_componentes.png"/>
                    <pic:cNvPicPr/>
                  </pic:nvPicPr>
                  <pic:blipFill>
                    <a:blip r:embed="rId17"/>
                    <a:stretch>
                      <a:fillRect/>
                    </a:stretch>
                  </pic:blipFill>
                  <pic:spPr>
                    <a:xfrm>
                      <a:off x="0" y="0"/>
                      <a:ext cx="5669280" cy="3962432"/>
                    </a:xfrm>
                    <a:prstGeom prst="rect"/>
                  </pic:spPr>
                </pic:pic>
              </a:graphicData>
            </a:graphic>
          </wp:inline>
        </w:drawing>
      </w:r>
    </w:p>
    <w:p>
      <w:pPr>
        <w:pStyle w:val="Rótuloacadémico"/>
      </w:pPr>
      <w:r>
        <w:rPr>
          <w:rFonts w:ascii="Times New Roman" w:hAnsi="Times New Roman"/>
          <w:b/>
          <w:color w:val="000000"/>
        </w:rPr>
        <w:t>Figura R3</w:t>
      </w:r>
    </w:p>
    <w:p>
      <w:pPr>
        <w:pStyle w:val="Descripciónacadémica"/>
      </w:pPr>
      <w:r>
        <w:rPr>
          <w:rFonts w:ascii="Times New Roman" w:hAnsi="Times New Roman"/>
          <w:i/>
          <w:color w:val="000000"/>
        </w:rPr>
        <w:t>Emisiones anuales de N₂O por etapa y escenario.</w:t>
      </w:r>
    </w:p>
    <w:p>
      <w:pPr>
        <w:ind w:left="0" w:firstLine="0"/>
        <w:jc w:val="center"/>
      </w:pPr>
      <w:r>
        <w:drawing>
          <wp:inline xmlns:a="http://schemas.openxmlformats.org/drawingml/2006/main" xmlns:pic="http://schemas.openxmlformats.org/drawingml/2006/picture">
            <wp:extent cx="5669280" cy="2717699"/>
            <wp:docPr id="10" name="Picture 10"/>
            <wp:cNvGraphicFramePr>
              <a:graphicFrameLocks noChangeAspect="1"/>
            </wp:cNvGraphicFramePr>
            <a:graphic>
              <a:graphicData uri="http://schemas.openxmlformats.org/drawingml/2006/picture">
                <pic:pic>
                  <pic:nvPicPr>
                    <pic:cNvPr id="0" name="fig_07_emisiones_n2o.png"/>
                    <pic:cNvPicPr/>
                  </pic:nvPicPr>
                  <pic:blipFill>
                    <a:blip r:embed="rId18"/>
                    <a:stretch>
                      <a:fillRect/>
                    </a:stretch>
                  </pic:blipFill>
                  <pic:spPr>
                    <a:xfrm>
                      <a:off x="0" y="0"/>
                      <a:ext cx="5669280" cy="2717699"/>
                    </a:xfrm>
                    <a:prstGeom prst="rect"/>
                  </pic:spPr>
                </pic:pic>
              </a:graphicData>
            </a:graphic>
          </wp:inline>
        </w:drawing>
      </w:r>
    </w:p>
    <w:p>
      <w:pPr>
        <w:pStyle w:val="Rótuloacadémico"/>
      </w:pPr>
      <w:r>
        <w:rPr>
          <w:rFonts w:ascii="Times New Roman" w:hAnsi="Times New Roman"/>
          <w:b/>
          <w:color w:val="000000"/>
        </w:rPr>
        <w:t>Figura R4</w:t>
      </w:r>
    </w:p>
    <w:p>
      <w:pPr>
        <w:pStyle w:val="Descripciónacadémica"/>
      </w:pPr>
      <w:r>
        <w:rPr>
          <w:rFonts w:ascii="Times New Roman" w:hAnsi="Times New Roman"/>
          <w:i/>
          <w:color w:val="000000"/>
        </w:rPr>
        <w:t>Emisiones anuales de NH₃ por etapa y escenario.</w:t>
      </w:r>
    </w:p>
    <w:p>
      <w:pPr>
        <w:ind w:left="0" w:firstLine="0"/>
        <w:jc w:val="center"/>
      </w:pPr>
      <w:r>
        <w:drawing>
          <wp:inline xmlns:a="http://schemas.openxmlformats.org/drawingml/2006/main" xmlns:pic="http://schemas.openxmlformats.org/drawingml/2006/picture">
            <wp:extent cx="5669280" cy="2717699"/>
            <wp:docPr id="11" name="Picture 11"/>
            <wp:cNvGraphicFramePr>
              <a:graphicFrameLocks noChangeAspect="1"/>
            </wp:cNvGraphicFramePr>
            <a:graphic>
              <a:graphicData uri="http://schemas.openxmlformats.org/drawingml/2006/picture">
                <pic:pic>
                  <pic:nvPicPr>
                    <pic:cNvPr id="0" name="fig_08_emisiones_nh3.png"/>
                    <pic:cNvPicPr/>
                  </pic:nvPicPr>
                  <pic:blipFill>
                    <a:blip r:embed="rId19"/>
                    <a:stretch>
                      <a:fillRect/>
                    </a:stretch>
                  </pic:blipFill>
                  <pic:spPr>
                    <a:xfrm>
                      <a:off x="0" y="0"/>
                      <a:ext cx="5669280" cy="2717699"/>
                    </a:xfrm>
                    <a:prstGeom prst="rect"/>
                  </pic:spPr>
                </pic:pic>
              </a:graphicData>
            </a:graphic>
          </wp:inline>
        </w:drawing>
      </w:r>
    </w:p>
    <w:p>
      <w:pPr>
        <w:pStyle w:val="Rótuloacadémico"/>
      </w:pPr>
      <w:r>
        <w:rPr>
          <w:rFonts w:ascii="Times New Roman" w:hAnsi="Times New Roman"/>
          <w:b/>
          <w:color w:val="000000"/>
        </w:rPr>
        <w:t>Figura R5</w:t>
      </w:r>
    </w:p>
    <w:p>
      <w:pPr>
        <w:pStyle w:val="Descripciónacadémica"/>
      </w:pPr>
      <w:r>
        <w:rPr>
          <w:rFonts w:ascii="Times New Roman" w:hAnsi="Times New Roman"/>
          <w:i/>
          <w:color w:val="000000"/>
        </w:rPr>
        <w:t>Emisiones anuales de NO₃⁻ por etapa y escenario.</w:t>
      </w:r>
    </w:p>
    <w:p>
      <w:pPr>
        <w:ind w:left="0" w:firstLine="0"/>
        <w:jc w:val="center"/>
      </w:pPr>
      <w:r>
        <w:drawing>
          <wp:inline xmlns:a="http://schemas.openxmlformats.org/drawingml/2006/main" xmlns:pic="http://schemas.openxmlformats.org/drawingml/2006/picture">
            <wp:extent cx="5669280" cy="2717699"/>
            <wp:docPr id="12" name="Picture 12"/>
            <wp:cNvGraphicFramePr>
              <a:graphicFrameLocks noChangeAspect="1"/>
            </wp:cNvGraphicFramePr>
            <a:graphic>
              <a:graphicData uri="http://schemas.openxmlformats.org/drawingml/2006/picture">
                <pic:pic>
                  <pic:nvPicPr>
                    <pic:cNvPr id="0" name="fig_09_emisiones_no3.png"/>
                    <pic:cNvPicPr/>
                  </pic:nvPicPr>
                  <pic:blipFill>
                    <a:blip r:embed="rId20"/>
                    <a:stretch>
                      <a:fillRect/>
                    </a:stretch>
                  </pic:blipFill>
                  <pic:spPr>
                    <a:xfrm>
                      <a:off x="0" y="0"/>
                      <a:ext cx="5669280" cy="2717699"/>
                    </a:xfrm>
                    <a:prstGeom prst="rect"/>
                  </pic:spPr>
                </pic:pic>
              </a:graphicData>
            </a:graphic>
          </wp:inline>
        </w:drawing>
      </w:r>
    </w:p>
    <w:p>
      <w:pPr>
        <w:pStyle w:val="Rótuloacadémico"/>
      </w:pPr>
      <w:r>
        <w:rPr>
          <w:rFonts w:ascii="Times New Roman" w:hAnsi="Times New Roman"/>
          <w:b/>
          <w:color w:val="000000"/>
        </w:rPr>
        <w:t>Figura R6</w:t>
      </w:r>
    </w:p>
    <w:p>
      <w:pPr>
        <w:pStyle w:val="Descripciónacadémica"/>
      </w:pPr>
      <w:r>
        <w:rPr>
          <w:rFonts w:ascii="Times New Roman" w:hAnsi="Times New Roman"/>
          <w:i/>
          <w:color w:val="000000"/>
        </w:rPr>
        <w:t>Emisiones anuales de CO₂ por etapa y escenario.</w:t>
      </w:r>
    </w:p>
    <w:p>
      <w:pPr>
        <w:ind w:left="0" w:firstLine="0"/>
        <w:jc w:val="center"/>
      </w:pPr>
      <w:r>
        <w:drawing>
          <wp:inline xmlns:a="http://schemas.openxmlformats.org/drawingml/2006/main" xmlns:pic="http://schemas.openxmlformats.org/drawingml/2006/picture">
            <wp:extent cx="5669280" cy="3960280"/>
            <wp:docPr id="13" name="Picture 13"/>
            <wp:cNvGraphicFramePr>
              <a:graphicFrameLocks noChangeAspect="1"/>
            </wp:cNvGraphicFramePr>
            <a:graphic>
              <a:graphicData uri="http://schemas.openxmlformats.org/drawingml/2006/picture">
                <pic:pic>
                  <pic:nvPicPr>
                    <pic:cNvPr id="0" name="fig_10_emisiones_co2.png"/>
                    <pic:cNvPicPr/>
                  </pic:nvPicPr>
                  <pic:blipFill>
                    <a:blip r:embed="rId21"/>
                    <a:stretch>
                      <a:fillRect/>
                    </a:stretch>
                  </pic:blipFill>
                  <pic:spPr>
                    <a:xfrm>
                      <a:off x="0" y="0"/>
                      <a:ext cx="5669280" cy="3960280"/>
                    </a:xfrm>
                    <a:prstGeom prst="rect"/>
                  </pic:spPr>
                </pic:pic>
              </a:graphicData>
            </a:graphic>
          </wp:inline>
        </w:drawing>
      </w:r>
    </w:p>
    <w:p>
      <w:pPr>
        <w:pStyle w:val="Rótuloacadémico"/>
      </w:pPr>
      <w:r>
        <w:rPr>
          <w:rFonts w:ascii="Times New Roman" w:hAnsi="Times New Roman"/>
          <w:b/>
          <w:color w:val="000000"/>
        </w:rPr>
        <w:t>Figura R7</w:t>
      </w:r>
    </w:p>
    <w:p>
      <w:pPr>
        <w:pStyle w:val="Descripciónacadémica"/>
      </w:pPr>
      <w:r>
        <w:rPr>
          <w:rFonts w:ascii="Times New Roman" w:hAnsi="Times New Roman"/>
          <w:i/>
          <w:color w:val="000000"/>
        </w:rPr>
        <w:t>Comparación del potencial total de calentamiento global entre escenarios.</w:t>
      </w:r>
    </w:p>
    <w:p>
      <w:pPr>
        <w:ind w:left="0" w:firstLine="0"/>
        <w:jc w:val="center"/>
      </w:pPr>
      <w:r>
        <w:drawing>
          <wp:inline xmlns:a="http://schemas.openxmlformats.org/drawingml/2006/main" xmlns:pic="http://schemas.openxmlformats.org/drawingml/2006/picture">
            <wp:extent cx="5669280" cy="4085781"/>
            <wp:docPr id="14" name="Picture 14"/>
            <wp:cNvGraphicFramePr>
              <a:graphicFrameLocks noChangeAspect="1"/>
            </wp:cNvGraphicFramePr>
            <a:graphic>
              <a:graphicData uri="http://schemas.openxmlformats.org/drawingml/2006/picture">
                <pic:pic>
                  <pic:nvPicPr>
                    <pic:cNvPr id="0" name="fig_13_comparacion_total_calentamiento_global.png"/>
                    <pic:cNvPicPr/>
                  </pic:nvPicPr>
                  <pic:blipFill>
                    <a:blip r:embed="rId22"/>
                    <a:stretch>
                      <a:fillRect/>
                    </a:stretch>
                  </pic:blipFill>
                  <pic:spPr>
                    <a:xfrm>
                      <a:off x="0" y="0"/>
                      <a:ext cx="5669280" cy="4085781"/>
                    </a:xfrm>
                    <a:prstGeom prst="rect"/>
                  </pic:spPr>
                </pic:pic>
              </a:graphicData>
            </a:graphic>
          </wp:inline>
        </w:drawing>
      </w:r>
    </w:p>
    <w:p>
      <w:pPr>
        <w:pStyle w:val="Rótuloacadémico"/>
      </w:pPr>
      <w:r>
        <w:rPr>
          <w:rFonts w:ascii="Times New Roman" w:hAnsi="Times New Roman"/>
          <w:b/>
          <w:color w:val="000000"/>
        </w:rPr>
        <w:t>Figura R8</w:t>
      </w:r>
    </w:p>
    <w:p>
      <w:pPr>
        <w:pStyle w:val="Descripciónacadémica"/>
      </w:pPr>
      <w:r>
        <w:rPr>
          <w:rFonts w:ascii="Times New Roman" w:hAnsi="Times New Roman"/>
          <w:i/>
          <w:color w:val="000000"/>
        </w:rPr>
        <w:t>Comparación del potencial total de eutrofización entre escenarios.</w:t>
      </w:r>
    </w:p>
    <w:p>
      <w:pPr>
        <w:ind w:left="0" w:firstLine="0"/>
        <w:jc w:val="center"/>
      </w:pPr>
      <w:r>
        <w:drawing>
          <wp:inline xmlns:a="http://schemas.openxmlformats.org/drawingml/2006/main" xmlns:pic="http://schemas.openxmlformats.org/drawingml/2006/picture">
            <wp:extent cx="5669280" cy="4082827"/>
            <wp:docPr id="15" name="Picture 15"/>
            <wp:cNvGraphicFramePr>
              <a:graphicFrameLocks noChangeAspect="1"/>
            </wp:cNvGraphicFramePr>
            <a:graphic>
              <a:graphicData uri="http://schemas.openxmlformats.org/drawingml/2006/picture">
                <pic:pic>
                  <pic:nvPicPr>
                    <pic:cNvPr id="0" name="fig_14_comparacion_total_eutrofizacion.png"/>
                    <pic:cNvPicPr/>
                  </pic:nvPicPr>
                  <pic:blipFill>
                    <a:blip r:embed="rId23"/>
                    <a:stretch>
                      <a:fillRect/>
                    </a:stretch>
                  </pic:blipFill>
                  <pic:spPr>
                    <a:xfrm>
                      <a:off x="0" y="0"/>
                      <a:ext cx="5669280" cy="4082827"/>
                    </a:xfrm>
                    <a:prstGeom prst="rect"/>
                  </pic:spPr>
                </pic:pic>
              </a:graphicData>
            </a:graphic>
          </wp:inline>
        </w:drawing>
      </w:r>
    </w:p>
    <w:p>
      <w:pPr>
        <w:pStyle w:val="Heading2"/>
      </w:pPr>
      <w:r>
        <w:rPr>
          <w:rFonts w:ascii="Times New Roman" w:hAnsi="Times New Roman"/>
          <w:color w:val="000000"/>
        </w:rPr>
        <w:t>Apéndice R10. Correspondencia entre tablas, figuras y archivos fuente</w:t>
      </w:r>
    </w:p>
    <w:p>
      <w:pPr>
        <w:spacing w:line="240" w:lineRule="auto" w:before="0" w:after="0"/>
        <w:ind w:left="100" w:firstLine="719"/>
        <w:jc w:val="both"/>
      </w:pPr>
      <w:r>
        <w:rPr>
          <w:rFonts w:ascii="Times New Roman" w:hAnsi="Times New Roman"/>
          <w:sz w:val="24"/>
        </w:rPr>
        <w:t>La Tabla R10 resume la correspondencia académica entre contenidos, bases de información y figuras utilizadas en el documento.</w:t>
      </w:r>
    </w:p>
    <w:p>
      <w:pPr>
        <w:pStyle w:val="Rótuloacadémico"/>
      </w:pPr>
      <w:r>
        <w:rPr>
          <w:rFonts w:ascii="Times New Roman" w:hAnsi="Times New Roman"/>
          <w:b/>
          <w:color w:val="000000"/>
        </w:rPr>
        <w:t>Tabla R10</w:t>
      </w:r>
    </w:p>
    <w:p>
      <w:pPr>
        <w:pStyle w:val="Descripciónacadémica"/>
      </w:pPr>
      <w:r>
        <w:rPr>
          <w:rFonts w:ascii="Times New Roman" w:hAnsi="Times New Roman"/>
          <w:i/>
          <w:color w:val="000000"/>
        </w:rPr>
        <w:t>Correspondencia de insumos usados.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3193"/>
        <w:gridCol w:w="3193"/>
        <w:gridCol w:w="3193"/>
      </w:tblGrid>
      <w:tr>
        <w:trPr>
          <w:cantSplit/>
          <w:tblHeader w:val="true"/>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Contenido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Base de información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Tablas o figuras relacionadas</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muestras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fisicoquímica de materiales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Figuras 1, 2 y R1</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Flujos del ICV</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Inventario de flujos por escenario y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Figuras 3 y R2</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Parámetros del modelo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Parámetros principales del modelo ACV</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Tabla 3</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de emisión y caracterización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Apéndice R4</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estimadas por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Figuras 4, R3, R4, R5 y R6</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por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ambientales por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Figuras 5 y 6</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totales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agregados por 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Figuras R7 y R8</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Comparación de escenarios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Comparación ambiental entre escenarios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 7</w:t>
            </w:r>
          </w:p>
        </w:tc>
      </w:tr>
    </w:tbl>
    <w:sectPr w:rsidR="00FC693F" w:rsidRPr="0006063C" w:rsidSect="00034616">
      <w:pgSz w:w="12240" w:h="15840"/>
      <w:pgMar w:top="1500" w:right="1320" w:bottom="280" w:left="13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left="100" w:firstLine="719"/>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left="0" w:firstLine="0"/>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ind w:left="0" w:firstLine="0"/>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ind w:left="0" w:firstLine="0"/>
      <w:jc w:val="both"/>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ind w:left="0" w:firstLine="0"/>
      <w:contextualSpacing/>
      <w:jc w:val="center"/>
    </w:pPr>
    <w:rPr>
      <w:rFonts w:asciiTheme="majorHAnsi" w:eastAsiaTheme="majorEastAsia" w:hAnsiTheme="majorHAnsi" w:cstheme="majorBidi" w:ascii="Times New Roman" w:hAnsi="Times New Roman" w:eastAsia="Times New Roman"/>
      <w:b w:val="0"/>
      <w:i/>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académico">
    <w:name w:val="Rótulo académico"/>
    <w:pPr>
      <w:spacing w:before="120" w:after="0"/>
      <w:ind w:left="0" w:firstLine="0"/>
      <w:jc w:val="both"/>
    </w:pPr>
    <w:rPr>
      <w:rFonts w:ascii="Times New Roman" w:hAnsi="Times New Roman" w:eastAsia="Times New Roman"/>
      <w:b/>
      <w:i w:val="0"/>
      <w:color w:val="000000"/>
      <w:sz w:val="24"/>
    </w:rPr>
  </w:style>
  <w:style w:type="paragraph" w:customStyle="1" w:styleId="Descripciónacadémica">
    <w:name w:val="Descripción académica"/>
    <w:pPr>
      <w:spacing w:before="0" w:after="120"/>
      <w:ind w:left="0" w:firstLine="0"/>
      <w:jc w:val="both"/>
    </w:pPr>
    <w:rPr>
      <w:rFonts w:ascii="Times New Roman" w:hAnsi="Times New Roman" w:eastAsia="Times New Roman"/>
      <w:b w:val="0"/>
      <w:i/>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