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240" w:lineRule="auto" w:before="0" w:after="0"/>
        <w:ind w:left="100" w:firstLine="719"/>
        <w:jc w:val="both"/>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240" w:lineRule="auto" w:before="0" w:after="0"/>
        <w:ind w:left="100" w:firstLine="719"/>
        <w:jc w:val="both"/>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El Escenario B representa una alternativa en la que los purines se almacenan y se aplican directamente en campo de pastoreo. Sus etapas son B1: Almacenamiento de purines y B2: Aplicación de purines en campo de pastoreo.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al almacenamiento de la mezcla líquida de estiércol, orina, agua de lavado y residuos arrastrados antes de su aplicación. B2: Aplicación de purines en campo de pastoreo corresponde a la aplicación directa de purines sobre el terreno.</w:t>
      </w:r>
    </w:p>
    <w:p>
      <w:pPr>
        <w:spacing w:line="240" w:lineRule="auto" w:before="0" w:after="0"/>
        <w:ind w:left="100" w:firstLine="719"/>
        <w:jc w:val="both"/>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ind w:left="0" w:firstLine="0"/>
        <w:jc w:val="center"/>
      </w:pPr>
      <w:r>
        <w:drawing>
          <wp:inline xmlns:a="http://schemas.openxmlformats.org/drawingml/2006/main" xmlns:pic="http://schemas.openxmlformats.org/drawingml/2006/picture">
            <wp:extent cx="5669280" cy="2802840"/>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2840"/>
                    </a:xfrm>
                    <a:prstGeom prst="rect"/>
                  </pic:spPr>
                </pic:pic>
              </a:graphicData>
            </a:graphic>
          </wp:inline>
        </w:drawing>
      </w:r>
    </w:p>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muestras sólidas permitieron determinar húmedad,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ex,fraction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complementan la interpretación operativa del sistema durante el periodo evaluado, pero no constituyen la unidad funcional.</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ex,fraction como fracción másica de entrada.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bl>
    <w:p>
      <w:pPr>
        <w:pStyle w:val="Heading2"/>
      </w:pPr>
      <w:r>
        <w:rPr>
          <w:rFonts w:ascii="Times New Roman" w:hAnsi="Times New Roman"/>
          <w:color w:val="000000"/>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Además, la asignación de sistemas de manejo por etapa y la selección de factores de caracterización deben ser respaldadas con fuentes bibliográficas en la versión final del TFG.</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co2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ch4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n2o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