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69,36 % del total del Escenario A y B1: Almacenamiento de purines aportó 98,03 % del total del Escenario B. Para eutrofización, las mayores contribuciones correspondieron a A1: Precomposteo (52,45 % del total de A) y B1: Almacenamiento de purines (70,55 %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0,346 kg CO₂-eq/kg de estiércol fresco manejado, frente a 0,163 kg CO₂-eq/kg de estiércol fresco manejado en el Escenario A. La diferencia fue de 112,39 %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el Escenario B también presentó el mayor impacto por unidad funcional: 0,000769 kg PO₄-eq/kg de estiércol fresco manejado, en comparación con 0,000660 kg PO₄-eq/kg de estiércol fresco manejado en el Escenario A. Bajo el supuesto de representación del nitrógeno potencialmente eutrofizante adoptado en el estudio, la diferencia de 16,43 % respecto a A mostró que el Escenario A también alcanzó el menor indicador de eutrofización en el sistema evaluado.</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menores indicadores que el Escenario B tanto para calentamiento global como para eutrofización. Este resultado se circunscribió al sistema evaluado y no implicó la superioridad universal de una alternativa en otras lecherías o condiciones operativas.</w:t>
      </w:r>
    </w:p>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