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Metodología desarrollada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Enfoque metodológico general del ACV</w:t>
      </w:r>
    </w:p>
    <w:p>
      <w:pPr>
        <w:spacing w:line="240" w:lineRule="auto" w:before="0" w:after="0"/>
        <w:ind w:left="100" w:firstLine="719"/>
        <w:jc w:val="both"/>
      </w:pPr>
      <w:r>
        <w:rPr>
          <w:rFonts w:ascii="Times New Roman" w:hAnsi="Times New Roman"/>
          <w:sz w:val="24"/>
        </w:rPr>
        <w:t>El estudio se desarrolló como un Análisis de Ciclo de Vida aplicado al manejo del estiércol bovino en una lechería especializada de Turrialba, Costa Rica. El procedimiento metodológico comprendió la definición de meta y alcance, la construcción del Inventario de Ciclo de Vida, la estimación de emisiones por etapa y la conversión de dichas emisiones a indicadores de impacto ambiental.</w:t>
      </w:r>
    </w:p>
    <w:p>
      <w:pPr>
        <w:spacing w:line="240" w:lineRule="auto" w:before="0" w:after="0"/>
        <w:ind w:left="100" w:firstLine="719"/>
        <w:jc w:val="both"/>
      </w:pPr>
      <w:r>
        <w:rPr>
          <w:rFonts w:ascii="Times New Roman" w:hAnsi="Times New Roman"/>
          <w:sz w:val="24"/>
        </w:rPr>
        <w:t>El enfoque permitió comparar dos alternativas de manejo bajo una misma unidad funcional, manteniendo la trazabilidad entre las mediciones de laboratorio, los flujos del inventario y las ecuaciones de estimación de emisiones. Las categorías de impacto consideradas fueron calentamiento global y eutrofización.</w:t>
      </w:r>
    </w:p>
    <w:p>
      <w:pPr>
        <w:pStyle w:val="Heading2"/>
      </w:pPr>
      <w:r>
        <w:rPr>
          <w:rFonts w:ascii="Times New Roman" w:hAnsi="Times New Roman"/>
          <w:color w:val="000000"/>
        </w:rPr>
        <w:t>2. Sitio de estudio</w:t>
      </w:r>
    </w:p>
    <w:p>
      <w:pPr>
        <w:spacing w:line="240" w:lineRule="auto" w:before="0" w:after="0"/>
        <w:ind w:left="100" w:firstLine="719"/>
        <w:jc w:val="both"/>
      </w:pPr>
      <w:r>
        <w:rPr>
          <w:rFonts w:ascii="Times New Roman" w:hAnsi="Times New Roman"/>
          <w:sz w:val="24"/>
        </w:rPr>
        <w:t>El sitio de estudio correspondió a la lechería de la Sede del Atlántico de la Universidad de Costa Rica, ubicada en Turrialba. La evaluación se concentró en el manejo del estiércol fresco, la fracción sólida precompostada, las aguas verdes y los purines generados durante las actividades de ordeño y lavado de las áreas operativas.</w:t>
      </w:r>
    </w:p>
    <w:p>
      <w:pPr>
        <w:spacing w:line="240" w:lineRule="auto" w:before="0" w:after="0"/>
        <w:ind w:left="100" w:firstLine="719"/>
        <w:jc w:val="both"/>
      </w:pPr>
      <w:r>
        <w:rPr>
          <w:rFonts w:ascii="Times New Roman" w:hAnsi="Times New Roman"/>
          <w:sz w:val="24"/>
        </w:rPr>
        <w:t>Sánchez-Romero y Brenes-Gamboa (2026) estudiaron esta misma lechería y aportaron la base documental de los parámetros operativos utilizados para cuantificar la generación de residuos durante el ordeño. La información de laboratorio del presente TFG permitió caracterizar los materiales empleados como entradas del inventario.</w:t>
      </w:r>
    </w:p>
    <w:p>
      <w:pPr>
        <w:pStyle w:val="Heading2"/>
      </w:pPr>
      <w:r>
        <w:rPr>
          <w:rFonts w:ascii="Times New Roman" w:hAnsi="Times New Roman"/>
          <w:color w:val="000000"/>
        </w:rPr>
        <w:t>3. Meta, alcance y unidad funcional</w:t>
      </w:r>
    </w:p>
    <w:p>
      <w:pPr>
        <w:spacing w:line="240" w:lineRule="auto" w:before="0" w:after="0"/>
        <w:ind w:left="100" w:firstLine="719"/>
        <w:jc w:val="both"/>
      </w:pPr>
      <w:r>
        <w:rPr>
          <w:rFonts w:ascii="Times New Roman" w:hAnsi="Times New Roman"/>
          <w:sz w:val="24"/>
        </w:rPr>
        <w:t>La meta del estudio fue comparar el desempeño ambiental de dos escenarios de manejo del estiércol bovino: el Escenario A, basado en lombricompostaje y aplicación de aguas verdes, y el Escenario B, basado en aplicación directa de purines en campo.</w:t>
      </w:r>
    </w:p>
    <w:p>
      <w:pPr>
        <w:spacing w:line="240" w:lineRule="auto" w:before="0" w:after="0"/>
        <w:ind w:left="100" w:firstLine="719"/>
        <w:jc w:val="both"/>
      </w:pPr>
      <w:r>
        <w:rPr>
          <w:rFonts w:ascii="Times New Roman" w:hAnsi="Times New Roman"/>
          <w:sz w:val="24"/>
        </w:rPr>
        <w:t>Para el análisis se utilizó como unidad funcional 1 kg de estiércol fresco manejado. Esta unidad permitió expresar y comparar los impactos de los escenarios bajo una misma base funcional.</w:t>
      </w:r>
    </w:p>
    <w:p>
      <w:pPr>
        <w:spacing w:line="240" w:lineRule="auto" w:before="0" w:after="0"/>
        <w:ind w:left="100" w:firstLine="719"/>
        <w:jc w:val="both"/>
      </w:pPr>
      <w:r>
        <w:rPr>
          <w:rFonts w:ascii="Times New Roman" w:hAnsi="Times New Roman"/>
          <w:sz w:val="24"/>
        </w:rPr>
        <w:t>El flujo anual común asociado con la unidad funcional fue 26 278,725181 kg de estiércol fresco/año. Los flujos y emisiones anuales describen la magnitud operacional del sistema, mientras que los indicadores expresados por kilogramo de estiércol fresco corresponden a la normalización respecto a la unidad funcional. La unidad funcional no se definió como 1 kg/año.</w:t>
      </w:r>
    </w:p>
    <w:p>
      <w:pPr>
        <w:pStyle w:val="Heading2"/>
      </w:pPr>
      <w:r>
        <w:rPr>
          <w:rFonts w:ascii="Times New Roman" w:hAnsi="Times New Roman"/>
          <w:color w:val="000000"/>
        </w:rPr>
        <w:t>4. Escenarios evaluados</w:t>
      </w:r>
    </w:p>
    <w:p>
      <w:pPr>
        <w:spacing w:line="240" w:lineRule="auto" w:before="0" w:after="0"/>
        <w:ind w:left="100" w:firstLine="719"/>
        <w:jc w:val="both"/>
      </w:pPr>
      <w:r>
        <w:rPr>
          <w:rFonts w:ascii="Times New Roman" w:hAnsi="Times New Roman"/>
          <w:sz w:val="24"/>
        </w:rPr>
        <w:t>Ambos escenarios se definieron como alternativas de manejo para el mismo flujo anual de referencia de 26 278,725181 kg de estiércol fresco/año.</w:t>
      </w:r>
    </w:p>
    <w:p>
      <w:pPr>
        <w:spacing w:line="240" w:lineRule="auto" w:before="0" w:after="0"/>
        <w:ind w:left="100" w:firstLine="719"/>
        <w:jc w:val="both"/>
      </w:pPr>
      <w:r>
        <w:rPr>
          <w:rFonts w:ascii="Times New Roman" w:hAnsi="Times New Roman"/>
          <w:sz w:val="24"/>
        </w:rPr>
        <w:t>En el Escenario A, 66,69 % del estiércol depositado se recolectó y entró primero a A1: Precomposteo; la masa resultante de esa transformación continuó posteriormente hacia A2: Lombricompostaje. El 33,31 % restante permaneció adherido al piso, se incorporó a las aguas verdes y fue representado en A3: Almacenamiento de aguas verdes y A4: Aplicación de aguas verdes en campos de pastoreo.</w:t>
      </w:r>
    </w:p>
    <w:p>
      <w:pPr>
        <w:spacing w:line="240" w:lineRule="auto" w:before="0" w:after="0"/>
        <w:ind w:left="100" w:firstLine="719"/>
        <w:jc w:val="both"/>
      </w:pPr>
      <w:r>
        <w:rPr>
          <w:rFonts w:ascii="Times New Roman" w:hAnsi="Times New Roman"/>
          <w:sz w:val="24"/>
        </w:rPr>
        <w:t>En el Escenario B no se efectuó esa separación: el 100 % del estiércol teóricamente depositado, equivalente a 26 278,725181 kg/año, ingresó a B1: Almacenamiento de purines. En B2: Aplicación de purines en campo de pastoreo se integraron el agua de lavado y el total de estiércol depositado.</w:t>
      </w:r>
    </w:p>
    <w:p>
      <w:pPr>
        <w:pStyle w:val="Heading2"/>
      </w:pPr>
      <w:r>
        <w:rPr>
          <w:rFonts w:ascii="Times New Roman" w:hAnsi="Times New Roman"/>
          <w:color w:val="000000"/>
        </w:rPr>
        <w:t>5. Fronteras del sistema</w:t>
      </w:r>
    </w:p>
    <w:p>
      <w:pPr>
        <w:spacing w:line="240" w:lineRule="auto" w:before="0" w:after="0"/>
        <w:ind w:left="100" w:firstLine="719"/>
        <w:jc w:val="both"/>
      </w:pPr>
      <w:r>
        <w:rPr>
          <w:rFonts w:ascii="Times New Roman" w:hAnsi="Times New Roman"/>
          <w:sz w:val="24"/>
        </w:rPr>
        <w:t>La frontera del sistema incluyó las operaciones directamente asociadas con el manejo del estiércol, aguas verdes y purines dentro de la unidad productiva. Para el Escenario A se consideraron las etapas de precomposteo, lombricompostaje, almacenamiento de aguas verdes y aplicación de aguas verdes. Para el Escenario B se consideraron el almacenamiento de purines y su aplicación directa en campo.</w:t>
      </w:r>
    </w:p>
    <w:p>
      <w:pPr>
        <w:spacing w:line="240" w:lineRule="auto" w:before="0" w:after="0"/>
        <w:ind w:left="100" w:firstLine="719"/>
        <w:jc w:val="both"/>
      </w:pPr>
      <w:r>
        <w:rPr>
          <w:rFonts w:ascii="Times New Roman" w:hAnsi="Times New Roman"/>
          <w:sz w:val="24"/>
        </w:rPr>
        <w:t>Las masas y volúmenes anuales estimados se emplearon para describir la magnitud operacional de las etapas evaluadas. Los flujos considerados para la construcción del inventario se presentan en la Tabla 2, y su distribución operacional se muestra en la Figura M1.</w:t>
      </w:r>
    </w:p>
    <w:p>
      <w:pPr>
        <w:pStyle w:val="Heading2"/>
      </w:pPr>
      <w:r>
        <w:rPr>
          <w:rFonts w:ascii="Times New Roman" w:hAnsi="Times New Roman"/>
          <w:color w:val="000000"/>
        </w:rPr>
        <w:t>6. Etapas del Escenario A</w:t>
      </w:r>
    </w:p>
    <w:p>
      <w:pPr>
        <w:spacing w:line="240" w:lineRule="auto" w:before="0" w:after="0"/>
        <w:ind w:left="100" w:firstLine="719"/>
        <w:jc w:val="both"/>
      </w:pPr>
      <w:r>
        <w:rPr>
          <w:rFonts w:ascii="Times New Roman" w:hAnsi="Times New Roman"/>
          <w:sz w:val="24"/>
        </w:rPr>
        <w:t>A1: Precomposteo corresponde al manejo inicial de la fracción sólida fresca antes del lombricompostaje. A2: Lombricompostaje corresponde a la transformación de la fracción sólida precompostada y representa el manejo posterior de dicha fracción.</w:t>
      </w:r>
    </w:p>
    <w:p>
      <w:pPr>
        <w:spacing w:line="240" w:lineRule="auto" w:before="0" w:after="0"/>
        <w:ind w:left="100" w:firstLine="719"/>
        <w:jc w:val="both"/>
      </w:pPr>
      <w:r>
        <w:rPr>
          <w:rFonts w:ascii="Times New Roman" w:hAnsi="Times New Roman"/>
          <w:sz w:val="24"/>
        </w:rPr>
        <w:t>A3: Almacenamiento de aguas verdes corresponde al almacenamiento del efluente generado por el lavado y el arrastre de residuos. Para estimar las emisiones de manejo en esta etapa se utilizó como masa de actividad únicamente el estiércol remanente sometido al sistema, junto con la caracterización química del estiércol fresco y los factores del sistema IPCC seleccionado; el agua de lavado presente físicamente no se sumó como masa de estiércol en esas ecuaciones.</w:t>
      </w:r>
    </w:p>
    <w:p>
      <w:pPr>
        <w:spacing w:line="240" w:lineRule="auto" w:before="0" w:after="0"/>
        <w:ind w:left="100" w:firstLine="719"/>
        <w:jc w:val="both"/>
      </w:pPr>
      <w:r>
        <w:rPr>
          <w:rFonts w:ascii="Times New Roman" w:hAnsi="Times New Roman"/>
          <w:sz w:val="24"/>
        </w:rPr>
        <w:t>A4: Aplicación de aguas verdes en campos de pastoreo corresponde a la etapa subsecuente de aplicación del efluente al suelo. Su flujo aplicado integró el agua de lavado y el estiércol remanente incorporado a las aguas verdes, y se empleó la caracterización química específica de las aguas verdes en las ecuaciones asociadas con suelos gestionados.</w:t>
      </w:r>
    </w:p>
    <w:p>
      <w:pPr>
        <w:pStyle w:val="Heading2"/>
      </w:pPr>
      <w:r>
        <w:rPr>
          <w:rFonts w:ascii="Times New Roman" w:hAnsi="Times New Roman"/>
          <w:color w:val="000000"/>
        </w:rPr>
        <w:t>7. Etapas del Escenario B</w:t>
      </w:r>
    </w:p>
    <w:p>
      <w:pPr>
        <w:spacing w:line="240" w:lineRule="auto" w:before="0" w:after="0"/>
        <w:ind w:left="100" w:firstLine="719"/>
        <w:jc w:val="both"/>
      </w:pPr>
      <w:r>
        <w:rPr>
          <w:rFonts w:ascii="Times New Roman" w:hAnsi="Times New Roman"/>
          <w:sz w:val="24"/>
        </w:rPr>
        <w:t>B1: Almacenamiento de purines corresponde físicamente al almacenamiento previo a la aplicación del efluente. Para estimar las emisiones de manejo se utilizó como masa de actividad la totalidad del estiércol teóricamente depositado, junto con la caracterización química del estiércol fresco y los factores del sistema IPCC seleccionado. Aunque el almacenamiento contiene agua de lavado, ese volumen no se incorporó como masa de estiércol en las ecuaciones de manejo.</w:t>
      </w:r>
    </w:p>
    <w:p>
      <w:pPr>
        <w:spacing w:line="240" w:lineRule="auto" w:before="0" w:after="0"/>
        <w:ind w:left="100" w:firstLine="719"/>
        <w:jc w:val="both"/>
      </w:pPr>
      <w:r>
        <w:rPr>
          <w:rFonts w:ascii="Times New Roman" w:hAnsi="Times New Roman"/>
          <w:sz w:val="24"/>
        </w:rPr>
        <w:t>B2: Aplicación de purines en campo de pastoreo corresponde a la etapa subsecuente de aplicación del efluente al suelo. El flujo aplicado integró el agua de lavado y la totalidad del estiércol incorporado al purín, y se utilizó la caracterización química específica del purín en las ecuaciones asociadas con suelos gestionados.</w:t>
      </w:r>
    </w:p>
    <w:p>
      <w:pPr>
        <w:pStyle w:val="Heading2"/>
      </w:pPr>
      <w:r>
        <w:rPr>
          <w:rFonts w:ascii="Times New Roman" w:hAnsi="Times New Roman"/>
          <w:color w:val="000000"/>
        </w:rPr>
        <w:t>8. Datos de entrada usados para el ICV</w:t>
      </w:r>
    </w:p>
    <w:p>
      <w:pPr>
        <w:spacing w:line="240" w:lineRule="auto" w:before="0" w:after="0"/>
        <w:ind w:left="100" w:firstLine="719"/>
        <w:jc w:val="both"/>
      </w:pPr>
      <w:r>
        <w:rPr>
          <w:rFonts w:ascii="Times New Roman" w:hAnsi="Times New Roman"/>
          <w:sz w:val="24"/>
        </w:rPr>
        <w:t>Los datos de entrada del ICV estuvieron compuestos por información primaria de laboratorio, registros operativos de la lechería y factores de emisión seleccionados de fuentes bibliográficas. Se consideraron cuatro tipos principales de materiales: estiércol fresco, estiércol precompostado, aguas verdes y purines.</w:t>
      </w:r>
    </w:p>
    <w:p>
      <w:pPr>
        <w:spacing w:line="240" w:lineRule="auto" w:before="0" w:after="0"/>
        <w:ind w:left="100" w:firstLine="719"/>
        <w:jc w:val="both"/>
      </w:pPr>
      <w:r>
        <w:rPr>
          <w:rFonts w:ascii="Times New Roman" w:hAnsi="Times New Roman"/>
          <w:sz w:val="24"/>
        </w:rPr>
        <w:t>El estiércol fresco constituyó el flujo de referencia del sistema y fue caracterizado mediante húmedad, materia seca, cenizas, sólidos volátiles y nitrógeno total. El estiércol precompostado permitió representar la transformación de la fracción sólida durante el proceso de lombricompostaje.</w:t>
      </w:r>
    </w:p>
    <w:p>
      <w:pPr>
        <w:spacing w:line="240" w:lineRule="auto" w:before="0" w:after="0"/>
        <w:ind w:left="100" w:firstLine="719"/>
        <w:jc w:val="both"/>
      </w:pPr>
      <w:r>
        <w:rPr>
          <w:rFonts w:ascii="Times New Roman" w:hAnsi="Times New Roman"/>
          <w:sz w:val="24"/>
        </w:rPr>
        <w:t>Las aguas verdes correspondieron al efluente generado durante el lavado de las áreas de manejo animal y fueron consideradas en el Escenario A para las etapas de almacenamiento y aplicación. Los purines representaron la mezcla líquida de estiércol, orina, agua de lavado y otros residuos arrastrados, considerada en el Escenario B para almacenamiento y aplicación directa en campo.</w:t>
      </w:r>
    </w:p>
    <w:p>
      <w:pPr>
        <w:spacing w:line="240" w:lineRule="auto" w:before="0" w:after="0"/>
        <w:ind w:left="100" w:firstLine="719"/>
        <w:jc w:val="both"/>
      </w:pPr>
      <w:r>
        <w:rPr>
          <w:rFonts w:ascii="Times New Roman" w:hAnsi="Times New Roman"/>
          <w:sz w:val="24"/>
        </w:rPr>
        <w:t>Para cada flujo se organizaron las variables necesarias para estimar emisiones de CH₄, N₂O, NH₃ y NO₃⁻, así como los impactos asociados a calentamiento global y eutrofización. Los resultados de la caracterización fisicoquímica de los materiales analizados se resumen en la Tabla 1.</w:t>
      </w:r>
    </w:p>
    <w:p>
      <w:pPr>
        <w:spacing w:line="240" w:lineRule="auto" w:before="0" w:after="0"/>
        <w:ind w:left="100" w:firstLine="719"/>
        <w:jc w:val="both"/>
      </w:pPr>
      <w:r>
        <w:rPr>
          <w:rFonts w:ascii="Times New Roman" w:hAnsi="Times New Roman"/>
          <w:sz w:val="24"/>
        </w:rPr>
        <w:t>Los parámetros operativos publicados para la misma lechería fueron: peso vivo promedio de 396,6 kg/animal, población media de 18 vacas en ordeño, permanencia aproximada de 3,5 h/día, recolección de 2,7 kg de estiércol fresco/animal, total recolectado de 17 525,1 kg/año y consumo de agua de lavado de 686,5 L/día (Sánchez-Romero y Brenes-Gamboa, 2026). El consumo anual derivado fue 250 572,5 L/año.</w:t>
      </w:r>
    </w:p>
    <w:p>
      <w:pPr>
        <w:spacing w:line="240" w:lineRule="auto" w:before="0" w:after="0"/>
        <w:ind w:left="100" w:firstLine="719"/>
        <w:jc w:val="both"/>
      </w:pPr>
      <w:r>
        <w:rPr>
          <w:rFonts w:ascii="Times New Roman" w:hAnsi="Times New Roman"/>
          <w:sz w:val="24"/>
        </w:rPr>
        <w:t>El valor de 17 525,1 kg/año representa el estiércol efectivamente recolectado durante las actividades de ordeño estudiadas; no corresponde a la excreción fisiológica total diaria de los animales.</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fisicoquímica de los materiales analizados.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Flujos considerados para el inventario de ciclo de vida.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Cantidad anual estimada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7 429,969</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bl>
    <w:p>
      <w:pPr>
        <w:pStyle w:val="Rótuloacadémico"/>
      </w:pPr>
      <w:r>
        <w:rPr>
          <w:rFonts w:ascii="Times New Roman" w:hAnsi="Times New Roman"/>
          <w:b/>
          <w:color w:val="000000"/>
        </w:rPr>
        <w:t>Figura M1</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1" name="Picture 1"/>
            <wp:cNvGraphicFramePr>
              <a:graphicFrameLocks noChangeAspect="1"/>
            </wp:cNvGraphicFramePr>
            <a:graphic>
              <a:graphicData uri="http://schemas.openxmlformats.org/drawingml/2006/picture">
                <pic:pic>
                  <pic:nvPicPr>
                    <pic:cNvPr id="0" name="fig_04_flujos_masa_equivalente_total.png"/>
                    <pic:cNvPicPr/>
                  </pic:nvPicPr>
                  <pic:blipFill>
                    <a:blip r:embed="rId10"/>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9. Muestreo y análisis de laboratorio</w:t>
      </w:r>
    </w:p>
    <w:p>
      <w:pPr>
        <w:spacing w:line="240" w:lineRule="auto" w:before="0" w:after="0"/>
        <w:ind w:left="100" w:firstLine="719"/>
        <w:jc w:val="both"/>
      </w:pPr>
      <w:r>
        <w:rPr>
          <w:rFonts w:ascii="Times New Roman" w:hAnsi="Times New Roman"/>
          <w:sz w:val="24"/>
        </w:rPr>
        <w:t>De acuerdo con el diseño previsto en el documento maestro, el muestreo se orientó a caracterizar los materiales que intervienen en las etapas del sistema evaluado mediante jornadas distribuidas durante el periodo de estudio. Para la fracción sólida se consideraron muestras de estiércol fresco y material precompostado, mientras que para la fracción líquida se consideraron aguas verdes y purines.</w:t>
      </w:r>
    </w:p>
    <w:p>
      <w:pPr>
        <w:spacing w:line="240" w:lineRule="auto" w:before="0" w:after="0"/>
        <w:ind w:left="100" w:firstLine="719"/>
        <w:jc w:val="both"/>
      </w:pPr>
      <w:r>
        <w:rPr>
          <w:rFonts w:ascii="Times New Roman" w:hAnsi="Times New Roman"/>
          <w:sz w:val="24"/>
        </w:rPr>
        <w:t>Esta versión metodológica corresponde a la integración provisional de M1 y M2. La jornada M3 permanece pendiente y su incorporación actualizará la caracterización final.</w:t>
      </w:r>
    </w:p>
    <w:p>
      <w:pPr>
        <w:spacing w:line="240" w:lineRule="auto" w:before="0" w:after="0"/>
        <w:ind w:left="100" w:firstLine="719"/>
        <w:jc w:val="both"/>
      </w:pPr>
      <w:r>
        <w:rPr>
          <w:rFonts w:ascii="Times New Roman" w:hAnsi="Times New Roman"/>
          <w:sz w:val="24"/>
        </w:rPr>
        <w:t>Las muestras sólidas permitieron determinar contenido de agua, materia seca, cenizas, sólidos volátiles y nitrógeno total; las muestras líquidas se utilizaron principalmente para representar el contenido de nitrógeno total y los flujos asociados al almacenamiento y aplicación en campo. Los resultados resumidos de caracterización se presentan en la Tabla 1 y los flujos utilizados para el inventario en la Tabla 2.</w:t>
      </w:r>
    </w:p>
    <w:p>
      <w:pPr>
        <w:spacing w:line="240" w:lineRule="auto" w:before="0" w:after="0"/>
        <w:ind w:left="100" w:firstLine="719"/>
        <w:jc w:val="both"/>
      </w:pPr>
      <w:r>
        <w:rPr>
          <w:rFonts w:ascii="Times New Roman" w:hAnsi="Times New Roman"/>
          <w:sz w:val="24"/>
        </w:rPr>
        <w:t>La materia seca y los sólidos volátiles se emplearon para representar la fracción orgánica disponible en las estimaciones de CH₄. El nitrógeno total se utilizó en la estimación de N₂O, NH₃ y NO₃⁻, según la alternativa de manejo correspondiente. Los parámetros principales utilizados para la estimación de emisiones se muestran en la Tabla 3.</w:t>
      </w:r>
    </w:p>
    <w:p>
      <w:pPr>
        <w:pStyle w:val="Heading2"/>
      </w:pPr>
      <w:r>
        <w:rPr>
          <w:rFonts w:ascii="Times New Roman" w:hAnsi="Times New Roman"/>
          <w:color w:val="000000"/>
        </w:rPr>
        <w:t>10. Organización y procesamiento de datos</w:t>
      </w:r>
    </w:p>
    <w:p>
      <w:pPr>
        <w:spacing w:line="240" w:lineRule="auto" w:before="0" w:after="0"/>
        <w:ind w:left="100" w:firstLine="719"/>
        <w:jc w:val="both"/>
      </w:pPr>
      <w:r>
        <w:rPr>
          <w:rFonts w:ascii="Times New Roman" w:hAnsi="Times New Roman"/>
          <w:sz w:val="24"/>
        </w:rPr>
        <w:t>Los datos obtenidos fueron organizados de acuerdo con el escenario de manejo, la etapa del sistema, el tipo de material y la variable medida. Esta organización permitió mantener la trazabilidad entre las mediciones de laboratorio, los flujos del inventario y las ecuaciones de estimación de emisiones.</w:t>
      </w:r>
    </w:p>
    <w:p>
      <w:pPr>
        <w:spacing w:line="240" w:lineRule="auto" w:before="0" w:after="0"/>
        <w:ind w:left="100" w:firstLine="719"/>
        <w:jc w:val="both"/>
      </w:pPr>
      <w:r>
        <w:rPr>
          <w:rFonts w:ascii="Times New Roman" w:hAnsi="Times New Roman"/>
          <w:sz w:val="24"/>
        </w:rPr>
        <w:t>Posteriormente, las variables de laboratorio fueron transformadas en fracciones o masas equivalentes según la unidad requerida por cada ecuación. Los parámetros principales empleados en este proceso se presentan en la Tabla 3.</w:t>
      </w:r>
    </w:p>
    <w:p>
      <w:pPr>
        <w:spacing w:line="240" w:lineRule="auto" w:before="0" w:after="0"/>
        <w:ind w:left="100" w:firstLine="719"/>
        <w:jc w:val="both"/>
      </w:pPr>
      <w:r>
        <w:rPr>
          <w:rFonts w:ascii="Times New Roman" w:hAnsi="Times New Roman"/>
          <w:sz w:val="24"/>
        </w:rPr>
        <w:t>La información completa de los parámetros utilizados en el modelo se presenta en el Apéndice interno A, Parámetros completos del modelo ACV.</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del modelo de estimación de emisiones.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 principal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11. Cálculo de humedad y materia seca</w:t>
      </w:r>
    </w:p>
    <w:p>
      <w:pPr>
        <w:spacing w:line="240" w:lineRule="auto" w:before="0" w:after="0"/>
        <w:ind w:left="100" w:firstLine="719"/>
        <w:jc w:val="both"/>
      </w:pPr>
      <w:r>
        <w:rPr>
          <w:rFonts w:ascii="Times New Roman" w:hAnsi="Times New Roman"/>
          <w:sz w:val="24"/>
        </w:rPr>
        <w:t>La materia seca se calculó como la proporción entre la masa posterior al secado y la masa fresca inicial. La húmedad se estimó como la fracción de agua removida durante el secado.</w:t>
      </w:r>
    </w:p>
    <w:p>
      <w:pPr>
        <w:ind w:left="0" w:firstLine="0"/>
        <w:jc w:val="center"/>
      </w:pPr>
      <w:r>
        <w:rPr>
          <w:rFonts w:ascii="Cambria Math" w:hAnsi="Cambria Math"/>
          <w:sz w:val="24"/>
        </w:rPr>
        <w:t>MS(\%) = \frac{m_{\mathrm{seca}}}{m_{\mathrm{fresca}}} \times 100</w:t>
      </w:r>
    </w:p>
    <w:p>
      <w:pPr>
        <w:spacing w:line="240" w:lineRule="auto" w:before="0" w:after="0"/>
        <w:ind w:left="100" w:firstLine="719"/>
        <w:jc w:val="both"/>
      </w:pPr>
      <w:r>
        <w:rPr>
          <w:rFonts w:ascii="Times New Roman" w:hAnsi="Times New Roman"/>
          <w:sz w:val="24"/>
        </w:rPr>
        <w:t>Donde: MS = materia seca, %; m seca = masa posterior al secado, g; m fresca = masa fresca inicial, g.</w:t>
      </w:r>
    </w:p>
    <w:p>
      <w:pPr>
        <w:ind w:left="0" w:firstLine="0"/>
        <w:jc w:val="center"/>
      </w:pPr>
      <w:r>
        <w:rPr>
          <w:rFonts w:ascii="Cambria Math" w:hAnsi="Cambria Math"/>
          <w:sz w:val="24"/>
        </w:rPr>
        <w:t>Humedad(\%) = \frac{m_{\mathrm{fresca}} - m_{\mathrm{seca}}}{m_{\mathrm{fresca}}} \times 100</w:t>
      </w:r>
    </w:p>
    <w:p>
      <w:pPr>
        <w:pStyle w:val="Heading2"/>
      </w:pPr>
      <w:r>
        <w:rPr>
          <w:rFonts w:ascii="Times New Roman" w:hAnsi="Times New Roman"/>
          <w:color w:val="000000"/>
        </w:rPr>
        <w:t>12. Cálculo de cenizas y sólidos volátiles</w:t>
      </w:r>
    </w:p>
    <w:p>
      <w:pPr>
        <w:spacing w:line="240" w:lineRule="auto" w:before="0" w:after="0"/>
        <w:ind w:left="100" w:firstLine="719"/>
        <w:jc w:val="both"/>
      </w:pPr>
      <w:r>
        <w:rPr>
          <w:rFonts w:ascii="Times New Roman" w:hAnsi="Times New Roman"/>
          <w:sz w:val="24"/>
        </w:rPr>
        <w:t>Las cenizas se determinaron como la fracción mineral remanente después de la calcinación. Los sólidos volátiles se estimaron como la fracción de materia seca que se volatiliza durante la calcinación.</w:t>
      </w:r>
    </w:p>
    <w:p>
      <w:pPr>
        <w:ind w:left="0" w:firstLine="0"/>
        <w:jc w:val="center"/>
      </w:pPr>
      <w:r>
        <w:rPr>
          <w:rFonts w:ascii="Cambria Math" w:hAnsi="Cambria Math"/>
          <w:sz w:val="24"/>
        </w:rPr>
        <w:t>Cenizas(\%) = \frac{m_{\mathrm{cenizas}}}{m_{\mathrm{seca}}} \times 100</w:t>
      </w:r>
    </w:p>
    <w:p>
      <w:pPr>
        <w:spacing w:line="240" w:lineRule="auto" w:before="0" w:after="0"/>
        <w:ind w:left="100" w:firstLine="719"/>
        <w:jc w:val="both"/>
      </w:pPr>
      <w:r>
        <w:rPr>
          <w:rFonts w:ascii="Times New Roman" w:hAnsi="Times New Roman"/>
          <w:sz w:val="24"/>
        </w:rPr>
        <w:t>Donde: m cenizas = masa remanente después de calcinación, g.</w:t>
      </w:r>
    </w:p>
    <w:p>
      <w:pPr>
        <w:ind w:left="0" w:firstLine="0"/>
        <w:jc w:val="center"/>
      </w:pPr>
      <w:r>
        <w:rPr>
          <w:rFonts w:ascii="Cambria Math" w:hAnsi="Cambria Math"/>
          <w:sz w:val="24"/>
        </w:rPr>
        <w:t>SV(\%) = \frac{m_{\mathrm{seca}} - m_{\mathrm{cenizas}}}{m_{\mathrm{seca}}} \times 100</w:t>
      </w:r>
    </w:p>
    <w:p>
      <w:pPr>
        <w:spacing w:line="240" w:lineRule="auto" w:before="0" w:after="0"/>
        <w:ind w:left="100" w:firstLine="719"/>
        <w:jc w:val="both"/>
      </w:pPr>
      <w:r>
        <w:rPr>
          <w:rFonts w:ascii="Times New Roman" w:hAnsi="Times New Roman"/>
          <w:sz w:val="24"/>
        </w:rPr>
        <w:t>Donde: SV = sólidos volátiles, %.</w:t>
      </w:r>
    </w:p>
    <w:p>
      <w:pPr>
        <w:pStyle w:val="Heading2"/>
      </w:pPr>
      <w:r>
        <w:rPr>
          <w:rFonts w:ascii="Times New Roman" w:hAnsi="Times New Roman"/>
          <w:color w:val="000000"/>
        </w:rPr>
        <w:t>13. Procesamiento de nitrógeno total</w:t>
      </w:r>
    </w:p>
    <w:p>
      <w:pPr>
        <w:spacing w:line="240" w:lineRule="auto" w:before="0" w:after="0"/>
        <w:ind w:left="100" w:firstLine="719"/>
        <w:jc w:val="both"/>
      </w:pPr>
      <w:r>
        <w:rPr>
          <w:rFonts w:ascii="Times New Roman" w:hAnsi="Times New Roman"/>
          <w:sz w:val="24"/>
        </w:rPr>
        <w:t>El nitrógeno total reportado en porcentaje fue convertido a fracción másica antes de emplearse en las ecuaciones de estimación de emisiones. Para el estiércol fresco analizado por LASA mediante Kjeldahl, así como para aguas verdes y purines, se conservó el tratamiento directo sobre la muestra o alícuota analizada, sin multiplicar por materia seca.</w:t>
      </w:r>
    </w:p>
    <w:p>
      <w:pPr>
        <w:spacing w:line="240" w:lineRule="auto" w:before="0" w:after="0"/>
        <w:ind w:left="100" w:firstLine="719"/>
        <w:jc w:val="both"/>
      </w:pPr>
      <w:r>
        <w:rPr>
          <w:rFonts w:ascii="Times New Roman" w:hAnsi="Times New Roman"/>
          <w:sz w:val="24"/>
        </w:rPr>
        <w:t>En el precompostado usado en A2, el CIA determinó N por Dumas después de secar la muestra a 80 °C durante 48 h. Este secado fue una preparación analítica distinta de la determinación gravimétrica de materia seca del TFG a 105 °C. El porcentaje integrado de N se interpretó como concentración del material preparado/seco y se convirtió a la base húmeda de la masa de actividad mediante la fracción gravimétrica de materia seca. No se reconstruyeron ni corrigieron posibles pérdidas de N ocurridas durante la preparación CIA.</w:t>
      </w:r>
    </w:p>
    <w:p>
      <w:pPr>
        <w:spacing w:line="240" w:lineRule="auto" w:before="0" w:after="0"/>
        <w:ind w:left="100" w:firstLine="719"/>
        <w:jc w:val="both"/>
      </w:pPr>
      <w:r>
        <w:rPr>
          <w:rFonts w:ascii="Times New Roman" w:hAnsi="Times New Roman"/>
          <w:sz w:val="24"/>
        </w:rPr>
        <w:t>La masa de nitrógeno asociada a cada flujo se estimó multiplicando la masa del flujo por la fracción másica de nitrógeno correspondiente.</w:t>
      </w:r>
    </w:p>
    <w:p>
      <w:pPr>
        <w:spacing w:line="240" w:lineRule="auto" w:before="0" w:after="0"/>
        <w:ind w:left="100" w:firstLine="719"/>
        <w:jc w:val="both"/>
      </w:pPr>
      <w:r>
        <w:rPr>
          <w:rFonts w:ascii="Times New Roman" w:hAnsi="Times New Roman"/>
          <w:sz w:val="24"/>
        </w:rPr>
        <w:t>La definición académica de las variables empleadas en esta sección y en las demás ecuaciones se reúne en el Apéndice interno C, Diccionario de variables metodológicas.</w:t>
      </w:r>
    </w:p>
    <w:p>
      <w:pPr>
        <w:ind w:left="0" w:firstLine="0"/>
        <w:jc w:val="center"/>
      </w:pPr>
      <w:r>
        <w:rPr>
          <w:rFonts w:ascii="Cambria Math" w:hAnsi="Cambria Math"/>
          <w:sz w:val="24"/>
        </w:rPr>
        <w:t>n_{\mathrm{ex,fraction}} = \frac{n_{\mathrm{ex,pct}}}{100}</w:t>
      </w:r>
    </w:p>
    <w:p>
      <w:pPr>
        <w:spacing w:line="240" w:lineRule="auto" w:before="0" w:after="0"/>
        <w:ind w:left="100" w:firstLine="719"/>
        <w:jc w:val="both"/>
      </w:pPr>
      <w:r>
        <w:rPr>
          <w:rFonts w:ascii="Times New Roman" w:hAnsi="Times New Roman"/>
          <w:sz w:val="24"/>
        </w:rPr>
        <w:t>Donde: n ex,pct = nitrógeno total reportado en porcentaje, %; n ex,Fracción = fracción másica de nitrógeno, kg N/kg muestra.</w:t>
      </w:r>
    </w:p>
    <w:p>
      <w:pPr>
        <w:ind w:left="0" w:firstLine="0"/>
        <w:jc w:val="center"/>
      </w:pPr>
      <w:r>
        <w:rPr>
          <w:rFonts w:ascii="Cambria Math" w:hAnsi="Cambria Math"/>
          <w:sz w:val="24"/>
        </w:rPr>
        <w:t>N_{\mathrm{fraction,wet,A2}} = \frac{n_{\mathrm{ex,pct,A2}}}{100} \times \frac{MS_{\mathrm{A2}}}{100}</w:t>
      </w:r>
    </w:p>
    <w:p>
      <w:pPr>
        <w:spacing w:line="240" w:lineRule="auto" w:before="0" w:after="0"/>
        <w:ind w:left="100" w:firstLine="719"/>
        <w:jc w:val="both"/>
      </w:pPr>
      <w:r>
        <w:rPr>
          <w:rFonts w:ascii="Times New Roman" w:hAnsi="Times New Roman"/>
          <w:sz w:val="24"/>
        </w:rPr>
        <w:t>Donde: N fraction,wet,A2 = fracción efectiva de N, kg N/kg de precompostado húmedo; n ex,pct,A2 = concentración analítica integrada de N del material preparado/seco, %; MS A2 = materia seca gravimétrica integrada del TFG, % de la masa húmeda.</w:t>
      </w:r>
    </w:p>
    <w:p>
      <w:pPr>
        <w:ind w:left="0" w:firstLine="0"/>
        <w:jc w:val="center"/>
      </w:pPr>
      <w:r>
        <w:rPr>
          <w:rFonts w:ascii="Cambria Math" w:hAnsi="Cambria Math"/>
          <w:sz w:val="24"/>
        </w:rPr>
        <w:t>N_{\mathrm{total}} = m_{\mathrm{flujo}} \times n_{\mathrm{ex,fraction}}</w:t>
      </w:r>
    </w:p>
    <w:p>
      <w:pPr>
        <w:spacing w:line="240" w:lineRule="auto" w:before="0" w:after="0"/>
        <w:ind w:left="100" w:firstLine="719"/>
        <w:jc w:val="both"/>
      </w:pPr>
      <w:r>
        <w:rPr>
          <w:rFonts w:ascii="Times New Roman" w:hAnsi="Times New Roman"/>
          <w:sz w:val="24"/>
        </w:rPr>
        <w:t>Donde: N total = masa de nitrógeno en el flujo, kg N; m flujo = masa del flujo correspondiente, kg.</w:t>
      </w:r>
    </w:p>
    <w:p>
      <w:pPr>
        <w:pStyle w:val="Heading2"/>
      </w:pPr>
      <w:r>
        <w:rPr>
          <w:rFonts w:ascii="Times New Roman" w:hAnsi="Times New Roman"/>
          <w:color w:val="000000"/>
        </w:rPr>
        <w:t>14. Trazabilidad de masa seca mediante conservación de cenizas</w:t>
      </w:r>
    </w:p>
    <w:p>
      <w:pPr>
        <w:spacing w:line="240" w:lineRule="auto" w:before="0" w:after="0"/>
        <w:ind w:left="100" w:firstLine="719"/>
        <w:jc w:val="both"/>
      </w:pPr>
      <w:r>
        <w:rPr>
          <w:rFonts w:ascii="Times New Roman" w:hAnsi="Times New Roman"/>
          <w:sz w:val="24"/>
        </w:rPr>
        <w:t>Para mantener la trazabilidad de la fracción sólida entre el estiércol fresco y el material precompostado, se aplicó el supuesto de conservación de cenizas. Bajo este supuesto, la fracción mineral del material se considera una referencia conservativa que permite estimar la masa seca remanente después del proceso de precompostaje.</w:t>
      </w:r>
    </w:p>
    <w:p>
      <w:pPr>
        <w:spacing w:line="240" w:lineRule="auto" w:before="0" w:after="0"/>
        <w:ind w:left="100" w:firstLine="719"/>
        <w:jc w:val="both"/>
      </w:pPr>
      <w:r>
        <w:rPr>
          <w:rFonts w:ascii="Times New Roman" w:hAnsi="Times New Roman"/>
          <w:sz w:val="24"/>
        </w:rPr>
        <w:t>De esta forma, la variación en el contenido de cenizas en base seca se utilizó para relacionar la masa seca inicial del estiércol fresco con la masa seca equivalente del material precompostado.</w:t>
      </w:r>
    </w:p>
    <w:p>
      <w:pPr>
        <w:ind w:left="0" w:firstLine="0"/>
        <w:jc w:val="center"/>
      </w:pPr>
      <w:r>
        <w:rPr>
          <w:rFonts w:ascii="Cambria Math" w:hAnsi="Cambria Math"/>
          <w:sz w:val="24"/>
        </w:rPr>
        <w:t>m_{\mathrm{cenizas,fresco}} = m_{\mathrm{MS,fresco}} \times f_{\mathrm{cenizas,fresco}}</w:t>
      </w:r>
    </w:p>
    <w:p>
      <w:pPr>
        <w:ind w:left="0" w:firstLine="0"/>
        <w:jc w:val="center"/>
      </w:pPr>
      <w:r>
        <w:rPr>
          <w:rFonts w:ascii="Cambria Math" w:hAnsi="Cambria Math"/>
          <w:sz w:val="24"/>
        </w:rPr>
        <w:t>m_{\mathrm{MS,precompostado}} = \frac{m_{\mathrm{cenizas,fresco}}}{f_{\mathrm{cenizas,precompostado}}}</w:t>
      </w:r>
    </w:p>
    <w:p>
      <w:pPr>
        <w:ind w:left="0" w:firstLine="0"/>
        <w:jc w:val="center"/>
      </w:pPr>
      <w:r>
        <w:rPr>
          <w:rFonts w:ascii="Cambria Math" w:hAnsi="Cambria Math"/>
          <w:sz w:val="24"/>
        </w:rPr>
        <w:t>F_{\mathrm{MS,remanente}} = \frac{m_{\mathrm{MS,precompostado}}}{m_{\mathrm{MS,fresco}}} = \frac{f_{\mathrm{cenizas,fresco}}}{f_{\mathrm{cenizas,precompostado}}}</w:t>
      </w:r>
    </w:p>
    <w:p>
      <w:pPr>
        <w:spacing w:line="240" w:lineRule="auto" w:before="0" w:after="0"/>
        <w:ind w:left="100" w:firstLine="719"/>
        <w:jc w:val="both"/>
      </w:pPr>
      <w:r>
        <w:rPr>
          <w:rFonts w:ascii="Times New Roman" w:hAnsi="Times New Roman"/>
          <w:sz w:val="24"/>
        </w:rPr>
        <w:t>Donde: m MS,fresco = masa seca inicial del estiércol fresco; m MS,precompostado = masa seca equivalente del material precompostado; f cenizas,fresco = fracción de cenizas del estiércol fresco en base seca; f cenizas,precompostado = fracción de cenizas del material precompostado en base seca; F MS,remanente = factor de masa seca remanente.</w:t>
      </w:r>
    </w:p>
    <w:p>
      <w:pPr>
        <w:pStyle w:val="Heading2"/>
      </w:pPr>
      <w:r>
        <w:rPr>
          <w:rFonts w:ascii="Times New Roman" w:hAnsi="Times New Roman"/>
          <w:color w:val="000000"/>
        </w:rPr>
        <w:t>15. Construcción de flujos del inventario</w:t>
      </w:r>
    </w:p>
    <w:p>
      <w:pPr>
        <w:spacing w:line="240" w:lineRule="auto" w:before="0" w:after="0"/>
        <w:ind w:left="100" w:firstLine="719"/>
        <w:jc w:val="both"/>
      </w:pPr>
      <w:r>
        <w:rPr>
          <w:rFonts w:ascii="Times New Roman" w:hAnsi="Times New Roman"/>
          <w:sz w:val="24"/>
        </w:rPr>
        <w:t>Los flujos del inventario se construyeron a partir de los parámetros operativos publicados para la lechería, el supuesto conservador adoptado para estimar el estiércol depositado durante la permanencia en sala y las masas o volúmenes asociados a cada etapa.</w:t>
      </w:r>
    </w:p>
    <w:p>
      <w:pPr>
        <w:spacing w:line="240" w:lineRule="auto" w:before="0" w:after="0"/>
        <w:ind w:left="100" w:firstLine="719"/>
        <w:jc w:val="both"/>
      </w:pPr>
      <w:r>
        <w:rPr>
          <w:rFonts w:ascii="Times New Roman" w:hAnsi="Times New Roman"/>
          <w:sz w:val="24"/>
        </w:rPr>
        <w:t>Sánchez-Romero y Brenes-Gamboa (2026) citan un intervalo bibliográfico según el cual una vaca lechera puede producir diariamente estiércol equivalente a 7–10 % de su peso vivo. El presente TFG adoptó deliberadamente el límite inferior de 7 % como supuesto conservador, con el fin de evitar sobreestimar una fracción que no fue medida directamente. Por tanto, el 7 % no se atribuyó a una medición realizada por esos autores.</w:t>
      </w:r>
    </w:p>
    <w:p>
      <w:pPr>
        <w:spacing w:line="240" w:lineRule="auto" w:before="0" w:after="0"/>
        <w:ind w:left="100" w:firstLine="719"/>
        <w:jc w:val="both"/>
      </w:pPr>
      <w:r>
        <w:rPr>
          <w:rFonts w:ascii="Times New Roman" w:hAnsi="Times New Roman"/>
          <w:sz w:val="24"/>
        </w:rPr>
        <w:t>La generación teórica diaria se estimó como 396,6 × 0,07 = 27,762 kg/animal/día. Para una permanencia de 3,5 h/día, el depósito teórico fue 27,762 × (3,5/24) = 4,048625 kg/animal. Al descontar los 2,7 kg/animal recolectados, el remanente estimado fue 1,348625 kg/animal.</w:t>
      </w:r>
    </w:p>
    <w:p>
      <w:pPr>
        <w:spacing w:line="240" w:lineRule="auto" w:before="0" w:after="0"/>
        <w:ind w:left="100" w:firstLine="719"/>
        <w:jc w:val="both"/>
      </w:pPr>
      <w:r>
        <w:rPr>
          <w:rFonts w:ascii="Times New Roman" w:hAnsi="Times New Roman"/>
          <w:sz w:val="24"/>
        </w:rPr>
        <w:t>La fracción remanente se calculó como 1,348625/4,048625 = 0,333106919016, equivalente a 33,31 %. La fracción recolectada fue 66,69 %. El 33,31 % constituye una estimación derivada mediante balance y no una medición directa.</w:t>
      </w:r>
    </w:p>
    <w:p>
      <w:pPr>
        <w:spacing w:line="240" w:lineRule="auto" w:before="0" w:after="0"/>
        <w:ind w:left="100" w:firstLine="719"/>
        <w:jc w:val="both"/>
      </w:pPr>
      <w:r>
        <w:rPr>
          <w:rFonts w:ascii="Times New Roman" w:hAnsi="Times New Roman"/>
          <w:sz w:val="24"/>
        </w:rPr>
        <w:t>A partir del total recolectado publicado y de la fracción recolectada se obtuvo un total teóricamente depositado de 26 278,725181 kg/año y un remanente de 8 753,625181 kg/año. En el Escenario A, el total se dividió entre la ruta sólida y las aguas verdes; en el Escenario B, el total ingresó al sistema de purines.</w:t>
      </w:r>
    </w:p>
    <w:p>
      <w:pPr>
        <w:spacing w:line="240" w:lineRule="auto" w:before="0" w:after="0"/>
        <w:ind w:left="100" w:firstLine="719"/>
        <w:jc w:val="both"/>
      </w:pPr>
      <w:r>
        <w:rPr>
          <w:rFonts w:ascii="Times New Roman" w:hAnsi="Times New Roman"/>
          <w:sz w:val="24"/>
        </w:rPr>
        <w:t>La equivalencia operativa de 1 L de agua igual a 1 kg equivalente se utilizó para integrar flujos líquidos y sólidos en una base común de inventario. Los flujos anuales estimados se reportan como magnitud operacional y no sustituyen la unidad funcional del ACV.</w:t>
      </w:r>
    </w:p>
    <w:p>
      <w:pPr>
        <w:spacing w:line="240" w:lineRule="auto" w:before="0" w:after="0"/>
        <w:ind w:left="100" w:firstLine="719"/>
        <w:jc w:val="both"/>
      </w:pPr>
      <w:r>
        <w:rPr>
          <w:rFonts w:ascii="Times New Roman" w:hAnsi="Times New Roman"/>
          <w:sz w:val="24"/>
        </w:rPr>
        <w:t>La masa equivalente total de las etapas de aplicación no corresponde únicamente al volumen del componente líquido expresado como kg equivalente. En estas etapas se integran también las fracciones de estiércol asociadas al flujo aplicado. Por ello, aun cuando se empleó la equivalencia 1 L de agua = 1 kg para el componente líquido, la masa equivalente total representa la suma del componente líquido y la fracción de estiércol correspondiente a la etapa. En A4, esta fracción corresponde al estiércol remanente derivado del balance entre la masa teóricamente depositada en sala y la masa recolectada; en B2, corresponde al total anual de estiércol teóricamente depositado e integrado al purín aplicado en campo.</w:t>
      </w:r>
    </w:p>
    <w:p>
      <w:pPr>
        <w:pStyle w:val="Heading2"/>
      </w:pPr>
      <w:r>
        <w:rPr>
          <w:rFonts w:ascii="Times New Roman" w:hAnsi="Times New Roman"/>
          <w:color w:val="000000"/>
        </w:rPr>
        <w:t>16. Normalización respecto a la unidad funcional</w:t>
      </w:r>
    </w:p>
    <w:p>
      <w:pPr>
        <w:spacing w:line="240" w:lineRule="auto" w:before="0" w:after="0"/>
        <w:ind w:left="100" w:firstLine="719"/>
        <w:jc w:val="both"/>
      </w:pPr>
      <w:r>
        <w:rPr>
          <w:rFonts w:ascii="Times New Roman" w:hAnsi="Times New Roman"/>
          <w:sz w:val="24"/>
        </w:rPr>
        <w:t>La normalización consistió en expresar los impactos respecto a la unidad funcional del estudio: 1 kg de estiércol fresco manejado. Esta referencia permitió comparar los escenarios A y B bajo una base común.</w:t>
      </w:r>
    </w:p>
    <w:p>
      <w:pPr>
        <w:spacing w:line="240" w:lineRule="auto" w:before="0" w:after="0"/>
        <w:ind w:left="100" w:firstLine="719"/>
        <w:jc w:val="both"/>
      </w:pPr>
      <w:r>
        <w:rPr>
          <w:rFonts w:ascii="Times New Roman" w:hAnsi="Times New Roman"/>
          <w:sz w:val="24"/>
        </w:rPr>
        <w:t>Los resultados anualizados describen la magnitud operacional asociada al flujo común de 26 278,725181 kg/año, pero no constituyen la unidad funcional. El indicador normalizado se obtuvo al dividir cada impacto anual entre dicho flujo de referencia.</w:t>
      </w:r>
    </w:p>
    <w:p>
      <w:pPr>
        <w:pStyle w:val="Heading2"/>
      </w:pPr>
      <w:r>
        <w:rPr>
          <w:rFonts w:ascii="Times New Roman" w:hAnsi="Times New Roman"/>
          <w:color w:val="000000"/>
        </w:rPr>
        <w:t>17. Aplicación de ecuaciones IPCC</w:t>
      </w:r>
    </w:p>
    <w:p>
      <w:pPr>
        <w:spacing w:line="240" w:lineRule="auto" w:before="0" w:after="0"/>
        <w:ind w:left="100" w:firstLine="719"/>
        <w:jc w:val="both"/>
      </w:pPr>
      <w:r>
        <w:rPr>
          <w:rFonts w:ascii="Times New Roman" w:hAnsi="Times New Roman"/>
          <w:sz w:val="24"/>
        </w:rPr>
        <w:t>Las ecuaciones IPCC se aplicaron por etapa según el sistema de manejo asignado. Las vías consideradas incluyeron emisiones de CH₄ por manejo de estiércol, N₂O directo, pérdidas por volatilización y lixiviación, N₂O indirecto y emisiones asociadas con suelos gestionados.</w:t>
      </w:r>
    </w:p>
    <w:p>
      <w:pPr>
        <w:spacing w:line="240" w:lineRule="auto" w:before="0" w:after="0"/>
        <w:ind w:left="100" w:firstLine="719"/>
        <w:jc w:val="both"/>
      </w:pPr>
      <w:r>
        <w:rPr>
          <w:rFonts w:ascii="Times New Roman" w:hAnsi="Times New Roman"/>
          <w:sz w:val="24"/>
        </w:rPr>
        <w:t>Para representar A2: Lombricompostaje se seleccionó la categoría Composting – Passive Windrow de las Directrices del IPCC, por constituir la aproximación disponible más cercana a las condiciones operativas del sistema estudiado. El proceso se desarrolla con material sólido y no corresponde a un reactor cerrado; tampoco utiliza aireación forzada ni volteo mecánico intensivo diario. La actividad y el desplazamiento de las lombrices, sin embargo, contribuyen a la movilización y aireación no intensiva del sustrato.</w:t>
      </w:r>
    </w:p>
    <w:p>
      <w:pPr>
        <w:spacing w:line="240" w:lineRule="auto" w:before="0" w:after="0"/>
        <w:ind w:left="100" w:firstLine="719"/>
        <w:jc w:val="both"/>
      </w:pPr>
      <w:r>
        <w:rPr>
          <w:rFonts w:ascii="Times New Roman" w:hAnsi="Times New Roman"/>
          <w:sz w:val="24"/>
        </w:rPr>
        <w:t>En A2 se adoptó una fracción de pérdida de N por lixiviación igual a cero como parámetro específico del sistema, sin alterar el valor genérico de la categoría Composting – Passive Windrow. Vargas Sarmiento (2023), en un ensayo efectuado en el mismo lombricario de la UCR Sede del Atlántico, documentó infraestructura bajo techo y camas construidas completamente con piso y paredes de cemento, sin drenajes; indicó además que la ausencia de drenajes dificultaba el escurrimiento del exceso de agua aplicado durante el riego experimental destinado a mantener la húmedad objetivo.</w:t>
      </w:r>
    </w:p>
    <w:p>
      <w:pPr>
        <w:spacing w:line="240" w:lineRule="auto" w:before="0" w:after="0"/>
        <w:ind w:left="100" w:firstLine="719"/>
        <w:jc w:val="both"/>
      </w:pPr>
      <w:r>
        <w:rPr>
          <w:rFonts w:ascii="Times New Roman" w:hAnsi="Times New Roman"/>
          <w:sz w:val="24"/>
        </w:rPr>
        <w:t>De manera separada, las observaciones directas efectuadas durante las giras de campo del presente TFG confirmaron que las camas se encontraban bajo techo, sin exposición directa a la precipitación, y que la adición regular de agua no constituía una práctica operacional habitual. Con base en la exclusión de lluvia directa, la impermeabilización de las camas, la ausencia de drenaje y la ausencia observada de riego operacional regular, no se modeló una pérdida de N hacia el ambiente por lixiviación durante A2. Este supuesto representa la ausencia de una salida significativa de N por esa vía y no niega que pueda ocurrir movimiento de agua dentro del sustrato.</w:t>
      </w:r>
    </w:p>
    <w:p>
      <w:pPr>
        <w:spacing w:line="240" w:lineRule="auto" w:before="0" w:after="0"/>
        <w:ind w:left="100" w:firstLine="719"/>
        <w:jc w:val="both"/>
      </w:pPr>
      <w:r>
        <w:rPr>
          <w:rFonts w:ascii="Times New Roman" w:hAnsi="Times New Roman"/>
          <w:sz w:val="24"/>
        </w:rPr>
        <w:t>A3: Almacenamiento de aguas verdes y B1: Almacenamiento de purines se representaron como almacenamiento de estiércol líquido sin costra natural. Para ambas etapas se utilizó un MCF de 38 % como aproximación conservadora para clima tropical húmedo, EF3 igual a cero y ausencia de lixiviación sistemática. La mineralización previa del 10 % del N orgánico se mantuvo como aproximación EMEP por defecto, sin escalado lineal por la residencia aproximada de tres días; su representatividad temporal constituye una incertidumbre explícita.</w:t>
      </w:r>
    </w:p>
    <w:p>
      <w:pPr>
        <w:spacing w:line="240" w:lineRule="auto" w:before="0" w:after="0"/>
        <w:ind w:left="100" w:firstLine="719"/>
        <w:jc w:val="both"/>
      </w:pPr>
      <w:r>
        <w:rPr>
          <w:rFonts w:ascii="Times New Roman" w:hAnsi="Times New Roman"/>
          <w:sz w:val="24"/>
        </w:rPr>
        <w:t>A4: Aplicación de aguas verdes en campos de pastoreo recibió exactamente el N total y el TAN remanentes de A3; B2: Aplicación de purines en campo de pastoreo recibió los pools correspondientes de B1. Ambas etapas representan aplicación al suelo de estiércol líquido previamente manejado y no deposición directa por animales durante pastoreo. Las mediciones intermedias se conservaron como benchmarks experimentales, sin reinicializar el ledger.</w:t>
      </w:r>
    </w:p>
    <w:p>
      <w:pPr>
        <w:spacing w:line="240" w:lineRule="auto" w:before="0" w:after="0"/>
        <w:ind w:left="100" w:firstLine="719"/>
        <w:jc w:val="both"/>
      </w:pPr>
      <w:r>
        <w:rPr>
          <w:rFonts w:ascii="Times New Roman" w:hAnsi="Times New Roman"/>
          <w:sz w:val="24"/>
        </w:rPr>
        <w:t>Para la trazabilidad de la aplicación, el N retornado según EMEP se definió como el N aplicado menos el NH₃-N volatilizado durante la aplicación. Esta variable no descuenta NOx-N, N₂O-N directo ni lixiviación o escorrentía. De forma separada, el ledger calculó el N residual del suelo después de descontar NH₃-N, NOx-N, N₂O-N directo y N lixiviado o escurrido; esta última es una variable contable de cierre y no una definición oficial EMEP o IPCC.</w:t>
      </w:r>
    </w:p>
    <w:p>
      <w:pPr>
        <w:spacing w:line="240" w:lineRule="auto" w:before="0" w:after="0"/>
        <w:ind w:left="100" w:firstLine="719"/>
        <w:jc w:val="both"/>
      </w:pPr>
      <w:r>
        <w:rPr>
          <w:rFonts w:ascii="Times New Roman" w:hAnsi="Times New Roman"/>
          <w:sz w:val="24"/>
        </w:rPr>
        <w:t>A2: Lombricompostaje utilizó las ecuaciones IPCC de manejo del estiércol y los factores genéricos de la categoría Composting – Passive Windrow, excepto la fracción de lixiviación, cuyo valor efectivo de cero se incorporó como parámetro específico del sistema estudiado. Las emisiones de las etapas se estimaron con los factores de manejo y parámetros descritos en la Tabla 3.</w:t>
      </w:r>
    </w:p>
    <w:p>
      <w:pPr>
        <w:spacing w:line="240" w:lineRule="auto" w:before="0" w:after="0"/>
        <w:ind w:left="100" w:firstLine="719"/>
        <w:jc w:val="both"/>
      </w:pPr>
      <w:r>
        <w:rPr>
          <w:rFonts w:ascii="Times New Roman" w:hAnsi="Times New Roman"/>
          <w:sz w:val="24"/>
        </w:rPr>
        <w:t>Los factores asociados con las ecuaciones de estimación de emisiones se organizaron de acuerdo con la metodología IPCC. En A2 se conservaron los factores de metano, N₂O directo y volatilización de la categoría Composting – Passive Windrow; únicamente la fracción de lixiviación se sustituyó mediante el parámetro específico descrito anteriormente.</w:t>
      </w:r>
    </w:p>
    <w:p>
      <w:pPr>
        <w:spacing w:line="240" w:lineRule="auto" w:before="0" w:after="0"/>
        <w:ind w:left="100" w:firstLine="719"/>
        <w:jc w:val="both"/>
      </w:pPr>
      <w:r>
        <w:rPr>
          <w:rFonts w:ascii="Times New Roman" w:hAnsi="Times New Roman"/>
          <w:sz w:val="24"/>
        </w:rPr>
        <w:t>Los factores de emisión y caracterización empleados en estas estimaciones se detallan en el Apéndice interno B, Factores de emisión y caracterización.</w:t>
      </w:r>
    </w:p>
    <w:p>
      <w:pPr>
        <w:pStyle w:val="Heading2"/>
      </w:pPr>
      <w:r>
        <w:rPr>
          <w:rFonts w:ascii="Times New Roman" w:hAnsi="Times New Roman"/>
          <w:color w:val="000000"/>
        </w:rPr>
        <w:t>18. Estimación de emisiones</w:t>
      </w:r>
    </w:p>
    <w:p>
      <w:pPr>
        <w:spacing w:line="240" w:lineRule="auto" w:before="0" w:after="0"/>
        <w:ind w:left="100" w:firstLine="719"/>
        <w:jc w:val="both"/>
      </w:pPr>
      <w:r>
        <w:rPr>
          <w:rFonts w:ascii="Times New Roman" w:hAnsi="Times New Roman"/>
          <w:sz w:val="24"/>
        </w:rPr>
        <w:t>Las emisiones se estimaron por escenario, etapa y sustancia mediante un ledger secuencial en kg N/año. El N total constituye el pool físico principal y el nitrógeno amoniacal total (TAN) un subpool, sujeto en todo momento a 0 ≤ TAN ≤ N total. En las fronteras de estiércol fresco se utilizó TAN/N = 0,60 para vaca lechera (EMEP/EEA, 2023).</w:t>
      </w:r>
    </w:p>
    <w:p>
      <w:pPr>
        <w:spacing w:line="240" w:lineRule="auto" w:before="0" w:after="0"/>
        <w:ind w:left="100" w:firstLine="719"/>
        <w:jc w:val="both"/>
      </w:pPr>
      <w:r>
        <w:rPr>
          <w:rFonts w:ascii="Times New Roman" w:hAnsi="Times New Roman"/>
          <w:sz w:val="24"/>
        </w:rPr>
        <w:t>Las pérdidas de NH₃-N, NOx-N y N₂-N definidas por EMEP redujeron TAN y N total. El N₂O-N directo y las pérdidas hídricas definidas por IPCC redujeron N total una sola vez, sin reducir automáticamente TAN. El N₂ se mantuvo como término físico de cierre y no se caracterizó en la evaluación de impactos.</w:t>
      </w:r>
    </w:p>
    <w:p>
      <w:pPr>
        <w:spacing w:line="240" w:lineRule="auto" w:before="0" w:after="0"/>
        <w:ind w:left="100" w:firstLine="719"/>
        <w:jc w:val="both"/>
      </w:pPr>
      <w:r>
        <w:rPr>
          <w:rFonts w:ascii="Times New Roman" w:hAnsi="Times New Roman"/>
          <w:sz w:val="24"/>
        </w:rPr>
        <w:t>En A1 se aplicaron los factores EMEP de almacenamiento sólido sobre TAN. El drenaje de A1 redujo el N total y llegó primero al suelo; solamente la fracción posteriormente lixiviada o escurrida desde el suelo originó NO₃⁻. En A2, el NH₃ se calculó con 12,8 g NH₃ por Mg de residuo orgánico de entrada (Komakech et al., 2016), mientras NO y N₂ utilizaron los factores EMEP sólidos como aproximación ante la ausencia de una categoría explícita de lombricompostaje.</w:t>
      </w:r>
    </w:p>
    <w:p>
      <w:pPr>
        <w:spacing w:line="240" w:lineRule="auto" w:before="0" w:after="0"/>
        <w:ind w:left="100" w:firstLine="719"/>
        <w:jc w:val="both"/>
      </w:pPr>
      <w:r>
        <w:rPr>
          <w:rFonts w:ascii="Times New Roman" w:hAnsi="Times New Roman"/>
          <w:sz w:val="24"/>
        </w:rPr>
        <w:t>En A3 y B1, la mineralización EMEP aumentó el TAN disponible antes de calcular NH₃-N, NO-N y N₂-N. En A4 y B2, NH₃-N se calculó como 0,55 kg NH₃-N por kg TAN aplicado; el NOx se reportó como NO₂ con 0,04 kg NO₂ por kg N aplicado y se convirtió a NOx-N mediante 14/46 para el balance.</w:t>
      </w:r>
    </w:p>
    <w:p>
      <w:pPr>
        <w:spacing w:line="240" w:lineRule="auto" w:before="0" w:after="0"/>
        <w:ind w:left="100" w:firstLine="719"/>
        <w:jc w:val="both"/>
      </w:pPr>
      <w:r>
        <w:rPr>
          <w:rFonts w:ascii="Times New Roman" w:hAnsi="Times New Roman"/>
          <w:sz w:val="24"/>
        </w:rPr>
        <w:t>El N₂O indirecto por volatilización se calculó exclusivamente con las especies explícitas NH₃-N y NOx-N. FracGasMS se conservó solo como benchmark de orden de magnitud y no generó una segunda masa física. El nitrato se originó exclusivamente en rutas hídricas justificadas y el N₂O indirecto asociado no se descontó de la masa de NO₃⁻ inventariada.</w:t>
      </w:r>
    </w:p>
    <w:p>
      <w:pPr>
        <w:spacing w:line="240" w:lineRule="auto" w:before="0" w:after="0"/>
        <w:ind w:left="100" w:firstLine="719"/>
        <w:jc w:val="both"/>
      </w:pPr>
      <w:r>
        <w:rPr>
          <w:rFonts w:ascii="Times New Roman" w:hAnsi="Times New Roman"/>
          <w:sz w:val="24"/>
        </w:rPr>
        <w:t>Los factores de caracterización empleados para convertir emisiones en indicadores de impacto se presentan en la Tabla 4.</w:t>
      </w:r>
    </w:p>
    <w:p>
      <w:pPr>
        <w:ind w:left="0" w:firstLine="0"/>
        <w:jc w:val="center"/>
      </w:pPr>
      <w:r>
        <w:rPr>
          <w:rFonts w:ascii="Cambria Math" w:hAnsi="Cambria Math"/>
          <w:sz w:val="24"/>
        </w:rPr>
        <w:t>TAN_{fresco} = 0{,}60 \times N_{total,fresco}</w:t>
      </w:r>
    </w:p>
    <w:p>
      <w:pPr>
        <w:spacing w:line="240" w:lineRule="auto" w:before="0" w:after="0"/>
        <w:ind w:left="100" w:firstLine="719"/>
        <w:jc w:val="both"/>
      </w:pPr>
      <w:r>
        <w:rPr>
          <w:rFonts w:ascii="Times New Roman" w:hAnsi="Times New Roman"/>
          <w:sz w:val="24"/>
        </w:rPr>
        <w:t>Donde: TAN fresco = nitrógeno amoniacal total en la frontera fresca, kg N/año; N total,fresco = nitrógeno total del estiércol fresco, kg N/año.</w:t>
      </w:r>
    </w:p>
    <w:p>
      <w:pPr>
        <w:ind w:left="0" w:firstLine="0"/>
        <w:jc w:val="center"/>
      </w:pPr>
      <w:r>
        <w:rPr>
          <w:rFonts w:ascii="Cambria Math" w:hAnsi="Cambria Math"/>
          <w:sz w:val="24"/>
        </w:rPr>
        <w:t>N_{precursor,vol} = N_{NH_3} + N_{NO_x}</w:t>
      </w:r>
    </w:p>
    <w:p>
      <w:pPr>
        <w:ind w:left="0" w:firstLine="0"/>
        <w:jc w:val="center"/>
      </w:pPr>
      <w:r>
        <w:rPr>
          <w:rFonts w:ascii="Cambria Math" w:hAnsi="Cambria Math"/>
          <w:sz w:val="24"/>
        </w:rPr>
        <w:t>N_{N_2O,ind,vol} = N_{precursor,vol} \times EF_4</w:t>
      </w:r>
    </w:p>
    <w:p>
      <w:pPr>
        <w:ind w:left="0" w:firstLine="0"/>
        <w:jc w:val="center"/>
      </w:pPr>
      <w:r>
        <w:rPr>
          <w:rFonts w:ascii="Cambria Math" w:hAnsi="Cambria Math"/>
          <w:sz w:val="24"/>
        </w:rPr>
        <w:t>N_{lix,esc} = N_{aplicado} \times FracLEACH</w:t>
      </w:r>
    </w:p>
    <w:p>
      <w:pPr>
        <w:ind w:left="0" w:firstLine="0"/>
        <w:jc w:val="center"/>
      </w:pPr>
      <w:r>
        <w:rPr>
          <w:rFonts w:ascii="Cambria Math" w:hAnsi="Cambria Math"/>
          <w:sz w:val="24"/>
        </w:rPr>
        <w:t>m_{NO_3^-} = N_{lix,esc} \times \frac{62}{14}</w:t>
      </w:r>
    </w:p>
    <w:p>
      <w:pPr>
        <w:ind w:left="0" w:firstLine="0"/>
        <w:jc w:val="center"/>
      </w:pPr>
      <w:r>
        <w:rPr>
          <w:rFonts w:ascii="Cambria Math" w:hAnsi="Cambria Math"/>
          <w:sz w:val="24"/>
        </w:rPr>
        <w:t>N_{N_2O,ind,lix} = N_{lix,esc} \times EF_5</w:t>
      </w:r>
    </w:p>
    <w:p>
      <w:pPr>
        <w:ind w:left="0" w:firstLine="0"/>
        <w:jc w:val="center"/>
      </w:pPr>
      <w:r>
        <w:rPr>
          <w:rFonts w:ascii="Cambria Math" w:hAnsi="Cambria Math"/>
          <w:sz w:val="24"/>
        </w:rPr>
        <w:t>m_{NH_3} = N_{NH_3} \times \frac{17}{14}</w:t>
      </w:r>
    </w:p>
    <w:p>
      <w:pPr>
        <w:ind w:left="0" w:firstLine="0"/>
        <w:jc w:val="center"/>
      </w:pPr>
      <w:r>
        <w:rPr>
          <w:rFonts w:ascii="Cambria Math" w:hAnsi="Cambria Math"/>
          <w:sz w:val="24"/>
        </w:rPr>
        <w:t>N_{NO_x} = m_{NO_2} \times \frac{14}{46}</w:t>
      </w:r>
    </w:p>
    <w:p>
      <w:pPr>
        <w:pStyle w:val="Heading2"/>
      </w:pPr>
      <w:r>
        <w:rPr>
          <w:rFonts w:ascii="Times New Roman" w:hAnsi="Times New Roman"/>
          <w:color w:val="000000"/>
        </w:rPr>
        <w:t>19. Evaluación de impacto de ciclo de vida</w:t>
      </w:r>
    </w:p>
    <w:p>
      <w:pPr>
        <w:spacing w:line="240" w:lineRule="auto" w:before="0" w:after="0"/>
        <w:ind w:left="100" w:firstLine="719"/>
        <w:jc w:val="both"/>
      </w:pPr>
      <w:r>
        <w:rPr>
          <w:rFonts w:ascii="Times New Roman" w:hAnsi="Times New Roman"/>
          <w:sz w:val="24"/>
        </w:rPr>
        <w:t>La evaluación de impacto convirtió las emisiones estimadas en resultados equivalentes mediante factores de caracterización. Las categorías consideradas fueron calentamiento global, expresado como kg CO₂-eq/año, y eutrofización, expresada como kg PO₄-eq/año. La unidad de eutrofización se expresa como equivalente de fosfato y se relaciona con el ion PO₄³⁻.</w:t>
      </w:r>
    </w:p>
    <w:p>
      <w:pPr>
        <w:spacing w:line="240" w:lineRule="auto" w:before="0" w:after="0"/>
        <w:ind w:left="100" w:firstLine="719"/>
        <w:jc w:val="both"/>
      </w:pPr>
      <w:r>
        <w:rPr>
          <w:rFonts w:ascii="Times New Roman" w:hAnsi="Times New Roman"/>
          <w:sz w:val="24"/>
        </w:rPr>
        <w:t>Para la categoría de calentamiento global se emplearon los potenciales reportados por el IMN (2021), expresados en kg CO₂-eq/kg de sustancia emitida. Para la categoría de eutrofización se utilizaron factores expresados en kg PO₄-eq/kg, con base en Ecobilan (1999, como se citó en Vallejo, 2004).</w:t>
      </w:r>
    </w:p>
    <w:p>
      <w:pPr>
        <w:spacing w:line="240" w:lineRule="auto" w:before="0" w:after="0"/>
        <w:ind w:left="100" w:firstLine="719"/>
        <w:jc w:val="both"/>
      </w:pPr>
      <w:r>
        <w:rPr>
          <w:rFonts w:ascii="Times New Roman" w:hAnsi="Times New Roman"/>
          <w:sz w:val="24"/>
        </w:rPr>
        <w:t>Los impactos se calcularon primero por etapa y posteriormente se agregaron por escenario. La comparación entre escenarios se realizó con diferencias absolutas y porcentuales entre el Escenario A y el Escenario B.</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Factores de caracterización para las categorías de impacto.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bl>
    <w:p>
      <w:pPr>
        <w:pStyle w:val="Heading2"/>
      </w:pPr>
      <w:r>
        <w:rPr>
          <w:rFonts w:ascii="Times New Roman" w:hAnsi="Times New Roman"/>
          <w:color w:val="000000"/>
        </w:rPr>
        <w:t>20. Contraste bibliográfico experimental de A2</w:t>
      </w:r>
    </w:p>
    <w:p>
      <w:pPr>
        <w:spacing w:line="240" w:lineRule="auto" w:before="0" w:after="0"/>
        <w:ind w:left="100" w:firstLine="719"/>
        <w:jc w:val="both"/>
      </w:pPr>
      <w:r>
        <w:rPr>
          <w:rFonts w:ascii="Times New Roman" w:hAnsi="Times New Roman"/>
          <w:sz w:val="24"/>
        </w:rPr>
        <w:t>Como apoyo a la discusión, las estimaciones IPCC de A2: Lombricompostaje se compararon con datos experimentales de Jjagwe et al. (2019; DOI: 10.3390/su11195173). Esta comparación se trató exclusivamente como benchmark bibliográfico y no como una segunda metodología de cálculo, un modelo Factor medido ni un inventario oficial alternativo.</w:t>
      </w:r>
    </w:p>
    <w:p>
      <w:pPr>
        <w:spacing w:line="240" w:lineRule="auto" w:before="0" w:after="0"/>
        <w:ind w:left="100" w:firstLine="719"/>
        <w:jc w:val="both"/>
      </w:pPr>
      <w:r>
        <w:rPr>
          <w:rFonts w:ascii="Times New Roman" w:hAnsi="Times New Roman"/>
          <w:sz w:val="24"/>
        </w:rPr>
        <w:t>La frontera material común fue la materia seca del estiércol precompostado al ingreso de A2, calculada como la masa húmeda anual de A2 multiplicada por su fracción gravimétrica de materia seca. Para CH₄ se utilizó exclusivamente la emisión oficial de A2; para N₂O se utilizó únicamente la emisión directa de manejo. Las vías indirectas IPCC se conservaron en el inventario oficial, pero se excluyeron del contraste directo con las mediciones del lecho.</w:t>
      </w:r>
    </w:p>
    <w:p>
      <w:pPr>
        <w:spacing w:line="240" w:lineRule="auto" w:before="0" w:after="0"/>
        <w:ind w:left="100" w:firstLine="719"/>
        <w:jc w:val="both"/>
      </w:pPr>
      <w:r>
        <w:rPr>
          <w:rFonts w:ascii="Times New Roman" w:hAnsi="Times New Roman"/>
          <w:sz w:val="24"/>
        </w:rPr>
        <w:t>La referencia experimental adoptada fue 7,6 g CH₄/kg de materia seca y 39,43 mg N₂O/kg de materia seca. El artículo contiene una inconsistencia interna para N₂O: el resumen presenta 3,943 × 10⁻⁵ g/kg, mientras los resultados, la Figura 3 y el potencial de calentamiento global publicado respaldan el orden de decenas de miligramos. La selección de 39,43 mg/kg constituye una resolución explícita de esa discrepancia.</w:t>
      </w:r>
    </w:p>
    <w:p>
      <w:pPr>
        <w:spacing w:line="240" w:lineRule="auto" w:before="0" w:after="0"/>
        <w:ind w:left="100" w:firstLine="719"/>
        <w:jc w:val="both"/>
      </w:pPr>
      <w:r>
        <w:rPr>
          <w:rFonts w:ascii="Times New Roman" w:hAnsi="Times New Roman"/>
          <w:sz w:val="24"/>
        </w:rPr>
        <w:t>El indicador complementario de N₂O-N directo por N inicial convirtió N₂O a N₂O-N mediante 28/44. Para la referencia experimental se empleó un TKN inicial de 1,44 % de la materia seca. El contraste climático armonizado incluyó exclusivamente CH₄ y N₂O directo y aplicó a ambos lados los factores de caracterización vigentes del TFG; no incorporó CO₂ experimental ni N₂O indirecto IPCC.</w:t>
      </w:r>
    </w:p>
    <w:p>
      <w:pPr>
        <w:spacing w:line="240" w:lineRule="auto" w:before="0" w:after="0"/>
        <w:ind w:left="100" w:firstLine="719"/>
        <w:jc w:val="both"/>
      </w:pPr>
      <w:r>
        <w:rPr>
          <w:rFonts w:ascii="Times New Roman" w:hAnsi="Times New Roman"/>
          <w:sz w:val="24"/>
        </w:rPr>
        <w:t>No se construyó eutrofización experimental porque el NH₃ no fue detectado, el N atmosférico no quedó completamente especiado y la representación del N potencialmente eutrofizante del TFG no equivale a una especiación experimental. La pérdida atmosférica de N de 18,18 % se utilizó solo como referencia conceptual, sin equipararla numéricamente con la fracción IPCC encaminada a volatilización.</w:t>
      </w:r>
    </w:p>
    <w:p>
      <w:pPr>
        <w:spacing w:line="240" w:lineRule="auto" w:before="0" w:after="0"/>
        <w:ind w:left="100" w:firstLine="719"/>
        <w:jc w:val="both"/>
      </w:pPr>
      <w:r>
        <w:rPr>
          <w:rFonts w:ascii="Times New Roman" w:hAnsi="Times New Roman"/>
          <w:sz w:val="24"/>
        </w:rPr>
        <w:t>La comparación armoniza la base material, pero no supone que el sistema experimental de Jjagwe et al. y la operación real modelada en Turrialba sean físicamente idénticos; sus diferencias de diseño y operación se consideran en la discusión de resultados.</w:t>
      </w:r>
    </w:p>
    <w:p>
      <w:pPr>
        <w:ind w:left="0" w:firstLine="0"/>
        <w:jc w:val="center"/>
      </w:pPr>
      <w:r>
        <w:rPr>
          <w:rFonts w:ascii="Cambria Math" w:hAnsi="Cambria Math"/>
          <w:sz w:val="24"/>
        </w:rPr>
        <w:t>m_{\mathrm{MS,A2}} = m_{\mathrm{húmeda,A2}} \times f_{\mathrm{MS,A2}}</w:t>
      </w:r>
    </w:p>
    <w:p>
      <w:pPr>
        <w:ind w:left="0" w:firstLine="0"/>
        <w:jc w:val="center"/>
      </w:pPr>
      <w:r>
        <w:rPr>
          <w:rFonts w:ascii="Cambria Math" w:hAnsi="Cambria Math"/>
          <w:sz w:val="24"/>
        </w:rPr>
        <w:t>I_{\mathrm{CH_4}} = \frac{m_{\mathrm{CH_4,A2}} \times 10^3}{m_{\mathrm{MS,A2}}}</w:t>
      </w:r>
    </w:p>
    <w:p>
      <w:pPr>
        <w:spacing w:line="240" w:lineRule="auto" w:before="0" w:after="0"/>
        <w:ind w:left="100" w:firstLine="719"/>
        <w:jc w:val="both"/>
      </w:pPr>
      <w:r>
        <w:rPr>
          <w:rFonts w:ascii="Times New Roman" w:hAnsi="Times New Roman"/>
          <w:sz w:val="24"/>
        </w:rPr>
        <w:t>Donde: I CH₄ = intensidad de metano, g CH₄/kg de materia seca de entrada.</w:t>
      </w:r>
    </w:p>
    <w:p>
      <w:pPr>
        <w:ind w:left="0" w:firstLine="0"/>
        <w:jc w:val="center"/>
      </w:pPr>
      <w:r>
        <w:rPr>
          <w:rFonts w:ascii="Cambria Math" w:hAnsi="Cambria Math"/>
          <w:sz w:val="24"/>
        </w:rPr>
        <w:t>I_{\mathrm{N_2O,directo}} = \frac{m_{\mathrm{N_2O,directo,A2}} \times 10^6}{m_{\mathrm{MS,A2}}}</w:t>
      </w:r>
    </w:p>
    <w:p>
      <w:pPr>
        <w:spacing w:line="240" w:lineRule="auto" w:before="0" w:after="0"/>
        <w:ind w:left="100" w:firstLine="719"/>
        <w:jc w:val="both"/>
      </w:pPr>
      <w:r>
        <w:rPr>
          <w:rFonts w:ascii="Times New Roman" w:hAnsi="Times New Roman"/>
          <w:sz w:val="24"/>
        </w:rPr>
        <w:t>Donde: I N₂O,directo = intensidad de óxido nitroso directo, mg N₂O/kg de materia seca de entrada.</w:t>
      </w:r>
    </w:p>
    <w:p>
      <w:pPr>
        <w:ind w:left="0" w:firstLine="0"/>
        <w:jc w:val="center"/>
      </w:pPr>
      <w:r>
        <w:rPr>
          <w:rFonts w:ascii="Cambria Math" w:hAnsi="Cambria Math"/>
          <w:sz w:val="24"/>
        </w:rPr>
        <w:t>F_{\mathrm{N_2O-N/N}} = \frac{m_{\mathrm{N_2O}} \times (28/44)}{m_{\mathrm{N,inicial}}}</w:t>
      </w:r>
    </w:p>
    <w:p>
      <w:pPr>
        <w:pStyle w:val="Heading2"/>
      </w:pPr>
      <w:r>
        <w:rPr>
          <w:rFonts w:ascii="Times New Roman" w:hAnsi="Times New Roman"/>
          <w:color w:val="000000"/>
        </w:rPr>
        <w:t>21. Supuestos metodológicos</w:t>
      </w:r>
    </w:p>
    <w:p>
      <w:pPr>
        <w:spacing w:line="240" w:lineRule="auto" w:before="0" w:after="0"/>
        <w:ind w:left="100" w:firstLine="719"/>
        <w:jc w:val="both"/>
      </w:pPr>
      <w:r>
        <w:rPr>
          <w:rFonts w:ascii="Times New Roman" w:hAnsi="Times New Roman"/>
          <w:sz w:val="24"/>
        </w:rPr>
        <w:t>Los supuestos principales fueron la equivalencia 1 L de agua = 1 kg equivalente, la extrapolación anual de flujos operativos, la adopción conservadora de 7 % del peso vivo/día para estimar el depósito teórico durante la permanencia en sala, la conservación de cenizas para estimar cambios de masa seca durante el precomposteo, la asignación de sistemas de manejo por etapa y el uso de factores de caracterización para las categorías de impacto evaluadas.</w:t>
      </w:r>
    </w:p>
    <w:p>
      <w:pPr>
        <w:spacing w:line="240" w:lineRule="auto" w:before="0" w:after="0"/>
        <w:ind w:left="100" w:firstLine="719"/>
        <w:jc w:val="both"/>
      </w:pPr>
      <w:r>
        <w:rPr>
          <w:rFonts w:ascii="Times New Roman" w:hAnsi="Times New Roman"/>
          <w:sz w:val="24"/>
        </w:rPr>
        <w:t>Para el inventario de N reactivo se emplearon especies explícitas y rutas físicas diferenciadas. No se aplicó una distribución artificial por partes iguales entre NH₃ y NO₃⁻.</w:t>
      </w:r>
    </w:p>
    <w:p>
      <w:pPr>
        <w:spacing w:line="240" w:lineRule="auto" w:before="0" w:after="0"/>
        <w:ind w:left="100" w:firstLine="719"/>
        <w:jc w:val="both"/>
      </w:pPr>
      <w:r>
        <w:rPr>
          <w:rFonts w:ascii="Times New Roman" w:hAnsi="Times New Roman"/>
          <w:sz w:val="24"/>
        </w:rPr>
        <w:t>Estos supuestos permiten mantener coherencia entre la caracterización de materiales, los flujos del inventario y las vías de emisión empleadas en el ACV.</w:t>
      </w:r>
    </w:p>
    <w:p>
      <w:pPr>
        <w:pStyle w:val="Heading2"/>
      </w:pPr>
      <w:r>
        <w:rPr>
          <w:rFonts w:ascii="Times New Roman" w:hAnsi="Times New Roman"/>
          <w:color w:val="000000"/>
        </w:rPr>
        <w:t>22. Limitaciones metodológicas</w:t>
      </w:r>
    </w:p>
    <w:p>
      <w:pPr>
        <w:spacing w:line="240" w:lineRule="auto" w:before="0" w:after="0"/>
        <w:ind w:left="100" w:firstLine="719"/>
        <w:jc w:val="both"/>
      </w:pPr>
      <w:r>
        <w:rPr>
          <w:rFonts w:ascii="Times New Roman" w:hAnsi="Times New Roman"/>
          <w:sz w:val="24"/>
        </w:rPr>
        <w:t>La estimación depende de la representatividad de las muestras de laboratorio y de la duración del muestreo de agua y estiércol. Las conversiones de N₂O-N a N₂O, de N a NH₃ y de N a NO₃⁻ se documentaron como cálculos estequiométricos derivados de relaciones de masa.</w:t>
      </w:r>
    </w:p>
    <w:p>
      <w:pPr>
        <w:spacing w:line="240" w:lineRule="auto" w:before="0" w:after="0"/>
        <w:ind w:left="100" w:firstLine="719"/>
        <w:jc w:val="both"/>
      </w:pPr>
      <w:r>
        <w:rPr>
          <w:rFonts w:ascii="Times New Roman" w:hAnsi="Times New Roman"/>
          <w:sz w:val="24"/>
        </w:rPr>
        <w:t>La presentación de flujos anuales y masas equivalentes describe la escala operacional del sistema, pero la comparación metodológica entre escenarios se mantiene referida a 1 kg de estiércol fresco.</w:t>
      </w:r>
    </w:p>
    <w:p>
      <w:pPr>
        <w:pStyle w:val="Heading2"/>
      </w:pPr>
      <w:r>
        <w:rPr>
          <w:rFonts w:ascii="Times New Roman" w:hAnsi="Times New Roman"/>
          <w:color w:val="000000"/>
        </w:rPr>
        <w:t>23. Referencias metodológicas incorporadas</w:t>
      </w:r>
    </w:p>
    <w:p>
      <w:pPr>
        <w:spacing w:line="240" w:lineRule="auto" w:before="0" w:after="0"/>
        <w:ind w:left="100" w:firstLine="719"/>
        <w:jc w:val="both"/>
      </w:pPr>
      <w:r>
        <w:rPr>
          <w:rFonts w:ascii="Times New Roman" w:hAnsi="Times New Roman"/>
          <w:sz w:val="24"/>
        </w:rPr>
        <w:t>Sánchez-Romero, C. A., &amp; Brenes-Gamboa, S. (2026). Cuantificación y caracterización de residuos generados durante el ordeño de ganado Jersey. Agronomía Mesoamericana, 37, artículo 6135ky76. https://doi.org/10.15517/6135ky76</w:t>
      </w:r>
    </w:p>
    <w:p>
      <w:pPr>
        <w:spacing w:line="240" w:lineRule="auto" w:before="0" w:after="0"/>
        <w:ind w:left="100" w:firstLine="719"/>
        <w:jc w:val="both"/>
      </w:pPr>
      <w:r>
        <w:rPr>
          <w:rFonts w:ascii="Times New Roman" w:hAnsi="Times New Roman"/>
          <w:sz w:val="24"/>
        </w:rPr>
        <w:t>Komakech, A. J., Zurbrügg, C., Miito, G. J., Wanyama, J., &amp; Vinnerås, B. (2016). Environmental impact from vermicomposting of organic waste in Kampala, Uganda. Journal of Environmental Management, 181, 395–402. https://doi.org/10.1016/j.jenvman.2016.06.028</w:t>
      </w:r>
    </w:p>
    <w:p>
      <w:pPr>
        <w:spacing w:line="240" w:lineRule="auto" w:before="0" w:after="0"/>
        <w:ind w:left="100" w:firstLine="719"/>
        <w:jc w:val="both"/>
      </w:pPr>
      <w:r>
        <w:rPr>
          <w:rFonts w:ascii="Times New Roman" w:hAnsi="Times New Roman"/>
          <w:sz w:val="24"/>
        </w:rPr>
        <w:t>Jjagwe, J., Komakech, A. J., Karungi, J., Amann, A., Wanyama, J., &amp; Lederer, J. (2019). Assessment of a Cattle Estiércol Vermicomposting System Using Material Flow Analysis: A Case Study from Uganda. Sustainability, 11, 5173. https://doi.org/10.3390/su11195173</w:t>
      </w:r>
    </w:p>
    <w:p>
      <w:pPr>
        <w:spacing w:line="240" w:lineRule="auto" w:before="0" w:after="0"/>
        <w:ind w:left="100" w:firstLine="719"/>
        <w:jc w:val="both"/>
      </w:pPr>
      <w:r>
        <w:rPr>
          <w:rFonts w:ascii="Times New Roman" w:hAnsi="Times New Roman"/>
          <w:sz w:val="24"/>
        </w:rPr>
        <w:t>European Environment Agency. (2023). EMEP/EEA air pollutant Emisión estimada inventory guidebook 2023: Chapter 3.B, Estiércol management, y Chapter 3.D, Crop production and agricultural soils. Publications Office of the European Union.</w:t>
      </w:r>
    </w:p>
    <w:p>
      <w:pPr>
        <w:spacing w:line="240" w:lineRule="auto" w:before="0" w:after="0"/>
        <w:ind w:left="100" w:firstLine="719"/>
        <w:jc w:val="both"/>
      </w:pPr>
      <w:r>
        <w:rPr>
          <w:rFonts w:ascii="Times New Roman" w:hAnsi="Times New Roman"/>
          <w:sz w:val="24"/>
        </w:rPr>
        <w:t>Intergovernmental Panel on Climate Change. (2019). 2019 Refinement to the 2006 IPCC Guidelines for National Greenhouse Gas Inventories, Volume 4, Chapters 10–11. IPCC.</w:t>
      </w:r>
    </w:p>
    <w:p>
      <w:pPr>
        <w:spacing w:line="240" w:lineRule="auto" w:before="0" w:after="0"/>
        <w:ind w:left="100" w:firstLine="719"/>
        <w:jc w:val="both"/>
      </w:pPr>
      <w:r>
        <w:rPr>
          <w:rFonts w:ascii="Times New Roman" w:hAnsi="Times New Roman"/>
          <w:sz w:val="24"/>
        </w:rPr>
        <w:t>Møller, H. B., Sommer, S. G., &amp; Ahring, B. K. (2004). Methane productivity of Estiércol, straw and solid fractions of Estiércol. Biomass and Bioenergy, 26, 485–495.</w:t>
      </w:r>
    </w:p>
    <w:p>
      <w:pPr>
        <w:spacing w:line="240" w:lineRule="auto" w:before="0" w:after="0"/>
        <w:ind w:left="100" w:firstLine="719"/>
        <w:jc w:val="both"/>
      </w:pPr>
      <w:r>
        <w:rPr>
          <w:rFonts w:ascii="Times New Roman" w:hAnsi="Times New Roman"/>
          <w:sz w:val="24"/>
        </w:rPr>
        <w:t>VanderZaag, A. C., MacDonald, J. D., Evans, L., Vergé, X. P. C., &amp; Desjardins, R. L. (2013). Towards an inventory of methane Emisiones estimadas from Estiércol management that is responsive to changes on Canadian farms. Environmental Research Letters, 8, 035008.</w:t>
      </w:r>
    </w:p>
    <w:p>
      <w:pPr>
        <w:spacing w:line="240" w:lineRule="auto" w:before="0" w:after="0"/>
        <w:ind w:left="100" w:firstLine="719"/>
        <w:jc w:val="both"/>
      </w:pPr>
      <w:r>
        <w:rPr>
          <w:rFonts w:ascii="Times New Roman" w:hAnsi="Times New Roman"/>
          <w:sz w:val="24"/>
        </w:rPr>
        <w:t>VanderZaag, A. C. (2018). On the systematic underestimation of methane conversion factors in IPCC guidance. Waste Management. https://doi.org/10.1016/j.wasman.2018.01.037</w:t>
      </w:r>
    </w:p>
    <w:p>
      <w:pPr>
        <w:pStyle w:val="Heading1"/>
      </w:pPr>
      <w:r>
        <w:rPr>
          <w:rFonts w:ascii="Times New Roman" w:hAnsi="Times New Roman"/>
          <w:color w:val="000000"/>
        </w:rPr>
        <w:t>Apéndices internos de metodología</w:t>
      </w:r>
    </w:p>
    <w:p>
      <w:pPr>
        <w:spacing w:line="240" w:lineRule="auto" w:before="0" w:after="0"/>
        <w:ind w:left="100" w:firstLine="719"/>
        <w:jc w:val="both"/>
      </w:pPr>
      <w:r>
        <w:rPr>
          <w:rFonts w:ascii="Times New Roman" w:hAnsi="Times New Roman"/>
          <w:sz w:val="24"/>
        </w:rPr>
        <w:t>Los apéndices internos reúnen material técnico de apoyo. La Tabla M1 presenta parámetros completos del modelo ACV, la Tabla M2 presenta factores de emisión y caracterización, y la Tabla M3 presenta el diccionario de variables metodológicas.</w:t>
      </w:r>
    </w:p>
    <w:p>
      <w:pPr>
        <w:pStyle w:val="Heading2"/>
      </w:pPr>
      <w:r>
        <w:rPr>
          <w:rFonts w:ascii="Times New Roman" w:hAnsi="Times New Roman"/>
          <w:color w:val="000000"/>
        </w:rPr>
        <w:t>Apéndice interno A. Parámetros completos del modelo ACV</w:t>
      </w:r>
    </w:p>
    <w:p>
      <w:pPr>
        <w:pStyle w:val="Rótuloacadémico"/>
      </w:pPr>
      <w:r>
        <w:rPr>
          <w:rFonts w:ascii="Times New Roman" w:hAnsi="Times New Roman"/>
          <w:b/>
          <w:color w:val="000000"/>
        </w:rPr>
        <w:t>Tabla M1</w:t>
      </w:r>
    </w:p>
    <w:p>
      <w:pPr>
        <w:pStyle w:val="Descripciónacadémica"/>
      </w:pPr>
      <w:r>
        <w:rPr>
          <w:rFonts w:ascii="Times New Roman" w:hAnsi="Times New Roman"/>
          <w:i/>
          <w:color w:val="000000"/>
        </w:rPr>
        <w:t>Parámetros completos usados por escenario y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Heading2"/>
      </w:pPr>
      <w:r>
        <w:rPr>
          <w:rFonts w:ascii="Times New Roman" w:hAnsi="Times New Roman"/>
          <w:color w:val="000000"/>
        </w:rPr>
        <w:t>Apéndice interno B. Factores de emisión y caracterización</w:t>
      </w:r>
    </w:p>
    <w:p>
      <w:pPr>
        <w:pStyle w:val="Rótuloacadémico"/>
      </w:pPr>
      <w:r>
        <w:rPr>
          <w:rFonts w:ascii="Times New Roman" w:hAnsi="Times New Roman"/>
          <w:b/>
          <w:color w:val="000000"/>
        </w:rPr>
        <w:t>Tabla M2</w:t>
      </w:r>
    </w:p>
    <w:p>
      <w:pPr>
        <w:pStyle w:val="Descripciónacadémica"/>
      </w:pPr>
      <w:r>
        <w:rPr>
          <w:rFonts w:ascii="Times New Roman" w:hAnsi="Times New Roman"/>
          <w:i/>
          <w:color w:val="000000"/>
        </w:rPr>
        <w:t>Factores técnicos usados en el modelo.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estiércol líquido without natural crust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land application managed Sistema de estiércol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Proporción TAN/N del 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TAN/kg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manejo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N₂-N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N2-N/kg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3-10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mineralización del N orgánico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mineralised organic N/kg organic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Step 9 Equation 32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NH₃-N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NH₃-N/kg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3.B Table 3-9</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NOx reportado como NO₂ durante la aplicación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NO2/kg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EMEP/EEA 2023 Chapter 3.D Table 3-1 page 14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 del almacenamiento líquido sin costra natural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percent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10.17</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drenaje de A1: Precomposteo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drainage/kg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del almacenamiento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Decision record and IPCC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 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A3;B1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Benchmark FracGasMS del almacenamiento líquido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volatilised 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10 Table 10.22</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EF4 de deposición atmosférica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NH₃-N+NOx-N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EF5 de lixiviación y escorrentía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leached/runoff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drainage;A4;B2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lixiviación y escorrentía desde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 leached/runoff/kg N input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A4;B2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EF1 de N orgánico aplicado al suelo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Estiércol N applied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 2019 Refinement Volume 4 Chapter 11 Table 11.1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del ledger de N total y TAN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NH₃ de 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NH₃/Mg biowaste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Komakech et al. 2016 DOI 10.1016/j.jenvman.2016.06.028</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N₂O-N a 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N₂O/kg N₂O-N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1,2143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NH₃/kg NH₃-N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Conversión estequiométrica de N a 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4,4286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Cálculo estequiométrico</w:t>
            </w:r>
          </w:p>
        </w:tc>
      </w:tr>
    </w:tbl>
    <w:p>
      <w:pPr>
        <w:pStyle w:val="Heading2"/>
      </w:pPr>
      <w:r>
        <w:rPr>
          <w:rFonts w:ascii="Times New Roman" w:hAnsi="Times New Roman"/>
          <w:color w:val="000000"/>
        </w:rPr>
        <w:t>Apéndice interno C. Diccionario de variables metodológicas</w:t>
      </w:r>
    </w:p>
    <w:p>
      <w:pPr>
        <w:pStyle w:val="Rótuloacadémico"/>
      </w:pPr>
      <w:r>
        <w:rPr>
          <w:rFonts w:ascii="Times New Roman" w:hAnsi="Times New Roman"/>
          <w:b/>
          <w:color w:val="000000"/>
        </w:rPr>
        <w:t>Tabla M3</w:t>
      </w:r>
    </w:p>
    <w:p>
      <w:pPr>
        <w:pStyle w:val="Descripciónacadémica"/>
      </w:pPr>
      <w:r>
        <w:rPr>
          <w:rFonts w:ascii="Times New Roman" w:hAnsi="Times New Roman"/>
          <w:i/>
          <w:color w:val="000000"/>
        </w:rPr>
        <w:t>Diccionario de variables metodológicas.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Definición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Identificador del escenario de manejo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 o B</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Numero de etapa dentro del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Nombre metodologico oficial de la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Tipo de material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o material representado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 total reportado (%)</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 en laboratorio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másica de 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fracción másica efectiva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usada para escalar 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Valor numerico de la variable reportada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depende de unidad</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Unidad explicita del valor reportado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Fuente metodológica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Archivo o fuente de origen del valor</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observaciones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Notas metodologicas o advertencias de uso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texto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caracterizacion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para convertir emisiones a equivalentes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equivalente/kg sustancia</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equivalente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Resultado de impacto ambiental por sustancia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 o kg PO₄-eq/año</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