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Documento integral de trabajo para revisión académica. La jornada M3 permanece pendiente.</w:t>
      </w:r>
    </w:p>
    <w:p>
      <w:pPr>
        <w:pStyle w:val="Portadacentrada"/>
        <w:keepNext/>
        <w:spacing w:before="400"/>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integra la propuesta académica original con la metodología ejecutada y los productos regenerables de la corrida vigente. Los resultados, la discusión y las conclusiones corresponden a la integración PROVISIONAL M1–M2. La incorporación de M3 actualizará la caracterización y puede modificar las magnitudes, comparaciones e interpretaciones presentadas.</w:t>
      </w:r>
    </w:p>
    <w:p>
      <w:pPr>
        <w:spacing w:line="240" w:lineRule="auto" w:before="0" w:after="0"/>
        <w:ind w:left="100" w:firstLine="719"/>
        <w:jc w:val="both"/>
      </w:pPr>
      <w:r>
        <w:rPr>
          <w:rFonts w:ascii="Times New Roman" w:hAnsi="Times New Roman"/>
          <w:sz w:val="24"/>
        </w:rPr>
        <w:t>El documento maestro aprobado se conserva como fuente protegida de continuidad académica y formato. La presente versión establece una ruta editorial única hacia el TFG final sin alterar ese documento original.</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spacing w:line="240" w:lineRule="auto" w:before="0" w:after="0"/>
        <w:ind w:left="100" w:firstLine="719"/>
        <w:jc w:val="both"/>
      </w:pPr>
      <w:r>
        <w:rPr>
          <w:rFonts w:ascii="Times New Roman" w:hAnsi="Times New Roman"/>
          <w:sz w:val="24"/>
        </w:rPr>
        <w:t>Apéndice B. Matriz detallada de procedencia de los datos del inventario</w:t>
      </w:r>
    </w:p>
    <w:p>
      <w:pPr>
        <w:spacing w:line="240" w:lineRule="auto" w:before="0" w:after="0"/>
        <w:ind w:left="100" w:firstLine="719"/>
        <w:jc w:val="both"/>
      </w:pPr>
      <w:r>
        <w:rPr>
          <w:rFonts w:ascii="Times New Roman" w:hAnsi="Times New Roman"/>
          <w:sz w:val="24"/>
        </w:rPr>
        <w:t>Apéndice C. Matriz detallada de trazabilidad metodológica por etapa A1–B2</w:t>
      </w:r>
    </w:p>
    <w:p>
      <w:pPr>
        <w:spacing w:line="240" w:lineRule="auto" w:before="0" w:after="0"/>
        <w:ind w:left="100" w:firstLine="719"/>
        <w:jc w:val="both"/>
      </w:pPr>
      <w:r>
        <w:rPr>
          <w:rFonts w:ascii="Times New Roman" w:hAnsi="Times New Roman"/>
          <w:sz w:val="24"/>
        </w:rPr>
        <w:t>Apéndice D. Trazabilidad experimental de las campañas M1–M2</w:t>
      </w:r>
    </w:p>
    <w:p>
      <w:pPr>
        <w:spacing w:line="240" w:lineRule="auto" w:before="0" w:after="0"/>
        <w:ind w:left="100" w:firstLine="719"/>
        <w:jc w:val="both"/>
      </w:pPr>
      <w:r>
        <w:rPr>
          <w:rFonts w:ascii="Times New Roman" w:hAnsi="Times New Roman"/>
          <w:sz w:val="24"/>
        </w:rPr>
        <w:t>Apéndice E. Balances intermedios y emisiones desagregadas</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spacing w:line="240" w:lineRule="auto" w:before="0" w:after="0"/>
        <w:ind w:left="100" w:firstLine="719"/>
        <w:jc w:val="both"/>
      </w:pPr>
      <w:r>
        <w:rPr>
          <w:rFonts w:ascii="Times New Roman" w:hAnsi="Times New Roman"/>
          <w:sz w:val="24"/>
        </w:rPr>
        <w:t>Las cifras contextuales y referencias heredadas de la propuesta se conservan en esta versión para mantener continuidad académica; su cotejo bibliográfico final se encuentra identificado en el registro integral de referencias.</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del manejo de estiércol en la lechería: el Escenario A, que integra la ruta sólida de precomposteo y lombricompostaje con la ruta de aguas verdes, y el Escenario B, que representa el almacenamiento y la aplicación directa de purines. La evaluación abarcó cambio climático, eutrofización terrestre y eutrofización marina. En esta etapa documental, la evidencia disponible integra M1 y M2 y mantiene pendiente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Modelado de emisiones del manejo del estiércol</w:t>
      </w:r>
    </w:p>
    <w:p>
      <w:pPr>
        <w:spacing w:line="240" w:lineRule="auto" w:before="0" w:after="0"/>
        <w:ind w:left="100" w:firstLine="719"/>
        <w:jc w:val="both"/>
      </w:pPr>
      <w:r>
        <w:rPr>
          <w:rFonts w:ascii="Times New Roman" w:hAnsi="Times New Roman"/>
          <w:sz w:val="24"/>
        </w:rPr>
        <w:t>En este TFG se distinguen tres niveles que no deben confundirse. El inventario reúne datos de actividad, como masas de material, contenido de sólidos volátiles, N total, nitrógeno amoniacal total, electricidad y diésel. El modelado de emisiones relaciona esos datos con factores y aproximaciones metodológicas para estimar flujos elementales hacia el aire, el agua o el suelo. La evaluación de impactos se realiza después, al caracterizar los flujos elementales obtenidos. Por tanto, un factor de emisión no es una medición directa de la finca y un factor de caracterización no genera por sí mismo una emisión.</w:t>
      </w:r>
    </w:p>
    <w:p>
      <w:pPr>
        <w:pStyle w:val="Heading3"/>
      </w:pPr>
      <w:r>
        <w:rPr>
          <w:rFonts w:ascii="Times New Roman" w:hAnsi="Times New Roman"/>
          <w:color w:val="000000"/>
        </w:rPr>
        <w:t>2.4.1 Directrices para inventarios de gases de efecto invernadero</w:t>
      </w:r>
    </w:p>
    <w:p>
      <w:pPr>
        <w:spacing w:line="240" w:lineRule="auto" w:before="0" w:after="0"/>
        <w:ind w:left="100" w:firstLine="719"/>
        <w:jc w:val="both"/>
      </w:pPr>
      <w:r>
        <w:rPr>
          <w:rFonts w:ascii="Times New Roman" w:hAnsi="Times New Roman"/>
          <w:sz w:val="24"/>
        </w:rPr>
        <w:t>El Refinamiento de 2019 de las Directrices de 2006 del Grupo Intergubernamental de Expertos sobre el Cambio Climático (IPCC, por sus siglas en inglés) se adoptó porque actualiza el marco internacional para inventarios de gases de efecto invernadero y contiene métodos aplicables al manejo de estiércol y a las entradas orgánicas en suelos gestionados (IPCC, 2019). En las etapas de manejo A1, A2, A3 y B1, este marco permite estimar CH₄ y N₂O directo; en A4 y B2 permite representar el N₂O directo del suelo y las rutas indirectas asociadas con volatilización y con lixiviación o escorrentía. Estas estimaciones forman parte del inventario de emisiones y anteceden a la evaluación de impactos.</w:t>
      </w:r>
    </w:p>
    <w:p>
      <w:pPr>
        <w:spacing w:line="240" w:lineRule="auto" w:before="0" w:after="0"/>
        <w:ind w:left="100" w:firstLine="719"/>
        <w:jc w:val="both"/>
      </w:pPr>
      <w:r>
        <w:rPr>
          <w:rFonts w:ascii="Times New Roman" w:hAnsi="Times New Roman"/>
          <w:sz w:val="24"/>
        </w:rPr>
        <w:t>Para CH₄, B₀ expresa la capacidad máxima de producción de metano de los sólidos volátiles; el factor de conversión de metano (MCF, por sus siglas en inglés) representa la fracción de ese potencial que se alcanza bajo el sistema de manejo y las condiciones climáticas consideradas; y la fracción asignada al sistema de manejo de desechos animales (AWMS, por sus siglas en inglés) representa la parte de la corriente ya asignada que se maneja mediante el sistema correspondiente. La masa manejada y su fracción de sólidos volátiles son datos de actividad, mientras que B₀, MCF y AWMS cumplen una función metodológica. Estos factores no constituyen mediciones directas de la lechería.</w:t>
      </w:r>
    </w:p>
    <w:p>
      <w:pPr>
        <w:spacing w:line="240" w:lineRule="auto" w:before="0" w:after="0"/>
        <w:ind w:left="100" w:firstLine="719"/>
        <w:jc w:val="both"/>
      </w:pPr>
      <w:r>
        <w:rPr>
          <w:rFonts w:ascii="Times New Roman" w:hAnsi="Times New Roman"/>
          <w:sz w:val="24"/>
        </w:rPr>
        <w:t>Para las rutas de N, EF₃ relaciona el N que ingresa al sistema de manejo con el N₂O-N directo; EF₁ cumple la función equivalente para entradas orgánicas al suelo; EF₄ transforma en N₂O-N indirecto la deposición derivada de las pérdidas explícitas de NH₃-N y NOx-N; y EF₅ se aplica al N perdido por lixiviación o escorrentía. FracLEACH representa la fracción de N que sigue la ruta hídrica una vez que el N ha llegado al suelo. Las fracciones específicas de drenaje del manejo se mantienen separadas de esta última ruta. Así, los factores describen fenómenos y bases de actividad diferentes y se aplican únicamente en las etapas donde la ruta física está representada.</w:t>
      </w:r>
    </w:p>
    <w:p>
      <w:pPr>
        <w:pStyle w:val="Heading3"/>
      </w:pPr>
      <w:r>
        <w:rPr>
          <w:rFonts w:ascii="Times New Roman" w:hAnsi="Times New Roman"/>
          <w:color w:val="000000"/>
        </w:rPr>
        <w:t>2.4.2 Emisiones de N reactivo y guía europea de inventarios atmosféricos</w:t>
      </w:r>
    </w:p>
    <w:p>
      <w:pPr>
        <w:spacing w:line="240" w:lineRule="auto" w:before="0" w:after="0"/>
        <w:ind w:left="100" w:firstLine="719"/>
        <w:jc w:val="both"/>
      </w:pPr>
      <w:r>
        <w:rPr>
          <w:rFonts w:ascii="Times New Roman" w:hAnsi="Times New Roman"/>
          <w:sz w:val="24"/>
        </w:rPr>
        <w:t>El marco del IPCC se complementó con la Guía de inventarios de emisiones atmosféricas 2023 del Programa cooperativo de seguimiento y evaluación del transporte a larga distancia de contaminantes atmosféricos en Europa (EMEP) y la Agencia Europea de Medio Ambiente (EEA, por sus siglas en inglés) para representar rutas de N reactivo que el modelo vigente calcula de forma explícita (European Environment Agency, 2023). Esta guía conjunta no sustituye al IPCC: aporta factores de NH₃-N, NO-N o NOx-N y N₂-N, además de la mineralización previa del N orgánico en el almacenamiento líquido, mientras el IPCC conserva las rutas de CH₄, N₂O directo e indirecto y las pérdidas hídricas que le corresponden.</w:t>
      </w:r>
    </w:p>
    <w:p>
      <w:pPr>
        <w:spacing w:line="240" w:lineRule="auto" w:before="0" w:after="0"/>
        <w:ind w:left="100" w:firstLine="719"/>
        <w:jc w:val="both"/>
      </w:pPr>
      <w:r>
        <w:rPr>
          <w:rFonts w:ascii="Times New Roman" w:hAnsi="Times New Roman"/>
          <w:sz w:val="24"/>
        </w:rPr>
        <w:t>El nitrógeno amoniacal total constituye la base de actividad para las pérdidas atmosféricas de almacenamiento y manejo cuando así lo establece EMEP/EEA. La volatilización de NH₃ puede comenzar desde la excreción y continuar durante el almacenamiento y tratamiento del estiércol; una vez emitido, el NH₃ participa en procesos de transporte y deposición atmosférica (Asman et al., 1998; Monteny y Erisman, 1998). En A1 se utilizan relaciones para almacenamiento sólido; en A3 y B1 se representan el almacenamiento líquido y la mineralización previa; y en A4 y B2 se distinguen los factores propios de aplicación al suelo. Las masas explícitas de NH₃-N y NOx-N alimentan después la ruta indirecta de N₂O del IPCC mediante EF₄. El N₂ se conserva como pérdida física del balance de N, pero no recibe caracterización ambiental en las categorías evaluadas.</w:t>
      </w:r>
    </w:p>
    <w:p>
      <w:pPr>
        <w:spacing w:line="240" w:lineRule="auto" w:before="0" w:after="0"/>
        <w:ind w:left="100" w:firstLine="719"/>
        <w:jc w:val="both"/>
      </w:pPr>
      <w:r>
        <w:rPr>
          <w:rFonts w:ascii="Times New Roman" w:hAnsi="Times New Roman"/>
          <w:sz w:val="24"/>
        </w:rPr>
        <w:t>A2 constituye una excepción acotada. Komakech et al. (2016) aporta la aproximación experimental adoptada para estimar NH₃ a partir de la masa húmeda de residuo que ingresa a la etapa. Esta relación no sustituye las aproximaciones EMEP/EEA utilizadas para NO y N₂, no se extiende a otras rutas o etapas y no reinicializa las reservas propagadas de N total y nitrógeno amoniacal total.</w:t>
      </w:r>
    </w:p>
    <w:p>
      <w:pPr>
        <w:pStyle w:val="Heading2"/>
      </w:pPr>
      <w:r>
        <w:rPr>
          <w:rFonts w:ascii="Times New Roman" w:hAnsi="Times New Roman"/>
          <w:color w:val="000000"/>
        </w:rPr>
        <w:t>2.5 Evaluación de impactos y factores nacionales</w:t>
      </w:r>
    </w:p>
    <w:p>
      <w:pPr>
        <w:pStyle w:val="Heading3"/>
      </w:pPr>
      <w:r>
        <w:rPr>
          <w:rFonts w:ascii="Times New Roman" w:hAnsi="Times New Roman"/>
          <w:color w:val="000000"/>
        </w:rPr>
        <w:t>2.5.1 Método de Huella Ambiental 3.1</w:t>
      </w:r>
    </w:p>
    <w:p>
      <w:pPr>
        <w:spacing w:line="240" w:lineRule="auto" w:before="0" w:after="0"/>
        <w:ind w:left="100" w:firstLine="719"/>
        <w:jc w:val="both"/>
      </w:pPr>
      <w:r>
        <w:rPr>
          <w:rFonts w:ascii="Times New Roman" w:hAnsi="Times New Roman"/>
          <w:sz w:val="24"/>
        </w:rPr>
        <w:t>El método de Huella Ambiental 3.1 (EF 3.1, por sus siglas en inglés) pertenece a la fase de Evaluación del Impacto del Ciclo de Vida. Su función es aplicar factores de caracterización que relacionan la masa de cada flujo elemental, su compartimento ambiental y una categoría de impacto con un indicador común (Andreasi Bassi et al., 2023). En este TFG se utilizan únicamente cambio climático, eutrofización terrestre y eutrofización marina, expresadas respectivamente en kg CO₂-eq, mol N-eq y kg N-eq. El potencial de calentamiento global (PCG) mencionado en los antecedentes corresponde al indicador climático utilizado por los estudios allí resumidos.</w:t>
      </w:r>
    </w:p>
    <w:p>
      <w:pPr>
        <w:spacing w:line="240" w:lineRule="auto" w:before="0" w:after="0"/>
        <w:ind w:left="100" w:firstLine="719"/>
        <w:jc w:val="both"/>
      </w:pPr>
      <w:r>
        <w:rPr>
          <w:rFonts w:ascii="Times New Roman" w:hAnsi="Times New Roman"/>
          <w:sz w:val="24"/>
        </w:rPr>
        <w:t>La secuencia conceptual es flujo elemental por factor de caracterización igual a contribución a la categoría de impacto. Emitir una masa de CH₄, N₂O, NH₃, NOx o NO₃⁻ pertenece al inventario modelado; convertirla en una contribución potencial a cambio climático o eutrofización pertenece a la caracterización. EF 3.1 no estima ni genera las emisiones. La implementación productiva y reproducible de esta relación se realiza en Python a partir de la identidad del flujo, el compartimento y la categoría.</w:t>
      </w:r>
    </w:p>
    <w:p>
      <w:pPr>
        <w:pStyle w:val="Heading3"/>
      </w:pPr>
      <w:r>
        <w:rPr>
          <w:rFonts w:ascii="Times New Roman" w:hAnsi="Times New Roman"/>
          <w:color w:val="000000"/>
        </w:rPr>
        <w:t>2.5.2 Factores oficiales nacionales para recursos operativos</w:t>
      </w:r>
    </w:p>
    <w:p>
      <w:pPr>
        <w:spacing w:line="240" w:lineRule="auto" w:before="0" w:after="0"/>
        <w:ind w:left="100" w:firstLine="719"/>
        <w:jc w:val="both"/>
      </w:pPr>
      <w:r>
        <w:rPr>
          <w:rFonts w:ascii="Times New Roman" w:hAnsi="Times New Roman"/>
          <w:sz w:val="24"/>
        </w:rPr>
        <w:t>Los factores oficiales del Instituto Meteorológico Nacional permiten representar los consumos energéticos con información nacional pertinente para Costa Rica (IMN, 2026). Su función depende del recurso. Para la electricidad se utiliza un factor agregado de consumo que entrega directamente una contribución de cambio climático y no se vuelve a caracterizar con EF 3.1. Para el diésel se emplean factores físicos de combustión que convierten el volumen consumido en masas de CO₂ fósil, CH₄ fósil y N₂O; estas emisiones elementales sí se caracterizan posteriormente con EF 3.1. La separación evita recaracterizar la electricidad o mezclar factores nacionales de inventario con factores de evaluación de impacto.</w:t>
      </w:r>
    </w:p>
    <w:p>
      <w:pPr>
        <w:pStyle w:val="Heading2"/>
      </w:pPr>
      <w:r>
        <w:rPr>
          <w:rFonts w:ascii="Times New Roman" w:hAnsi="Times New Roman"/>
          <w:color w:val="000000"/>
        </w:rPr>
        <w:t>2.6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 CO₂ eq/ton y 126,4 g PO₄³⁻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10⁻⁸ kg de P eq para la eutrofización del agua dulce y 2,17 × 10⁻⁹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m² de espacio funcional, distribuidos en tres secciones: precomposteo, camas y secado, con superficies de 15 m², 60 m² y 81 m², respectivamente. El suelo y las camas estuvieron hechos de cemento y mampostería (con bloques de 12x20x40 cm), respectivamente. La sección de precomposteo tuvo en total 10,3 m de largo, 0,64 m de ancho y una profundidad de 1,7 m, su volumen fue de 11,25 m³. Las camas tuvieron un largo total de 21,5 m y un ancho y profundidad de 1,62 m de 0,425 m, y estuvo dividida en 5 unidades. Siendo una de ellas de la mitad del ancho antes mencionado, el volumen total fue de 13,3 m³.</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sistema se sustentó en observaciones de campo, consultas operativas presenciales y datos publicados para la misma lechería por Sánchez-Romero y Brenes-Gamboa (2026). Cada parámetro conservó la procedencia correspondiente y no se atribuyeron a la publicación las estimaciones comunicadas o los supuestos del estudio.</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aproximadamente 26 278,7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La duración habitual de A1 fue comunicada como una estimación operativa de aproximadamente 21 días a cerca de un mes; por ello, se representa como tres a cuatro semanas sin tratar 28 días como una medición instrumentada.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 referencia respalda la duración de A2, pero no se utilizó como confirmación inequívoca del tiempo operativo de A1. Las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reconstruye los diagramas conceptuales de la propuesta con la nomenclatura y las conexiones vigentes.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pPr>
      <w:r>
        <w:rPr>
          <w:rFonts w:ascii="Times New Roman" w:hAnsi="Times New Roman"/>
          <w:b/>
          <w:color w:val="000000"/>
        </w:rPr>
        <w:t>Figura 1</w:t>
      </w:r>
    </w:p>
    <w:p>
      <w:pPr>
        <w:pStyle w:val="Descripciónacadémica"/>
        <w:keepNext/>
      </w:pPr>
      <w:r>
        <w:rPr>
          <w:rFonts w:ascii="Times New Roman" w:hAnsi="Times New Roman"/>
          <w:i/>
          <w:color w:val="000000"/>
        </w:rPr>
        <w:t>Fronteras y conexiones físicas de los escenarios evaluados.</w:t>
      </w:r>
    </w:p>
    <w:p>
      <w:pPr>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presenta la jerarquía de etapas utilizada en todo el documento integral. En los gráficos por etapa se emplean las claves A1–A4 y B1–B2 definidas en esta tabla.</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spacing w:line="240" w:lineRule="auto" w:before="0" w:after="0"/>
        <w:ind w:left="100" w:firstLine="719"/>
        <w:jc w:val="both"/>
      </w:pPr>
      <w:r>
        <w:rPr>
          <w:rFonts w:ascii="Times New Roman" w:hAnsi="Times New Roman"/>
          <w:sz w:val="24"/>
        </w:rPr>
        <w:t>La Figura 2 aporta evidencia visual complementaria de los elementos físicos asociados con las rutas descritas. Las fotografías documentan las unidades observadas y no sustituyen la definición de fronteras ni los registros operativos empleados en el inventario.</w:t>
      </w:r>
    </w:p>
    <w:p>
      <w:pPr>
        <w:pStyle w:val="Rótuloacadémico"/>
        <w:keepNext/>
      </w:pPr>
      <w:r>
        <w:rPr>
          <w:rFonts w:ascii="Times New Roman" w:hAnsi="Times New Roman"/>
          <w:b/>
          <w:color w:val="000000"/>
        </w:rPr>
        <w:t>Figura 2</w:t>
      </w:r>
    </w:p>
    <w:p>
      <w:pPr>
        <w:pStyle w:val="Descripciónacadémica"/>
        <w:keepNext/>
      </w:pPr>
      <w:r>
        <w:rPr>
          <w:rFonts w:ascii="Times New Roman" w:hAnsi="Times New Roman"/>
          <w:i/>
          <w:color w:val="000000"/>
        </w:rPr>
        <w:t>Elementos físicos de las rutas de manejo estudiadas: (a) pila de precomposteo; (b) camas de lombricompostaje y tanques de almacenamiento del agua de lavado; (c) abertura de la tanqueta de almacenamiento con aguas verdes; y (d) cañón VAIA empleado para la aplicación de aguas verdes o purines al campo.</w:t>
      </w:r>
    </w:p>
    <w:p>
      <w:pPr>
        <w:ind w:left="0" w:firstLine="0"/>
        <w:jc w:val="center"/>
      </w:pPr>
      <w:r>
        <w:drawing>
          <wp:inline xmlns:a="http://schemas.openxmlformats.org/drawingml/2006/main" xmlns:pic="http://schemas.openxmlformats.org/drawingml/2006/picture">
            <wp:extent cx="5486400" cy="4285349"/>
            <wp:docPr id="2" name="Picture 2"/>
            <wp:cNvGraphicFramePr>
              <a:graphicFrameLocks noChangeAspect="1"/>
            </wp:cNvGraphicFramePr>
            <a:graphic>
              <a:graphicData uri="http://schemas.openxmlformats.org/drawingml/2006/picture">
                <pic:pic>
                  <pic:nvPicPr>
                    <pic:cNvPr id="0" name="fig_fotografica_sistema_fisico.jpg"/>
                    <pic:cNvPicPr/>
                  </pic:nvPicPr>
                  <pic:blipFill>
                    <a:blip r:embed="rId11"/>
                    <a:stretch>
                      <a:fillRect/>
                    </a:stretch>
                  </pic:blipFill>
                  <pic:spPr>
                    <a:xfrm>
                      <a:off x="0" y="0"/>
                      <a:ext cx="5486400" cy="4285349"/>
                    </a:xfrm>
                    <a:prstGeom prst="rect"/>
                  </pic:spPr>
                </pic:pic>
              </a:graphicData>
            </a:graphic>
          </wp:inline>
        </w:drawing>
      </w:r>
    </w:p>
    <w:p>
      <w:pPr>
        <w:pStyle w:val="Heading2"/>
      </w:pPr>
      <w:r>
        <w:rPr>
          <w:rFonts w:ascii="Times New Roman" w:hAnsi="Times New Roman"/>
          <w:color w:val="000000"/>
        </w:rPr>
        <w:t>4.3 Diseño experimental, muestreo y análisis de laboratorio</w:t>
      </w:r>
    </w:p>
    <w:p>
      <w:pPr>
        <w:pStyle w:val="Heading3"/>
      </w:pPr>
      <w:r>
        <w:rPr>
          <w:rFonts w:ascii="Times New Roman" w:hAnsi="Times New Roman"/>
          <w:color w:val="000000"/>
        </w:rPr>
        <w:t>4.3.1 Campañas y procedencia física de las muestras</w:t>
      </w:r>
    </w:p>
    <w:p>
      <w:pPr>
        <w:spacing w:line="240" w:lineRule="auto" w:before="0" w:after="0"/>
        <w:ind w:left="100" w:firstLine="719"/>
        <w:jc w:val="both"/>
      </w:pPr>
      <w:r>
        <w:rPr>
          <w:rFonts w:ascii="Times New Roman" w:hAnsi="Times New Roman"/>
          <w:sz w:val="24"/>
        </w:rPr>
        <w:t>La caracterización primaria vigente procede exclusivamente de las campañas M1 y M2. En M1, las fotografías de campo y el informe de los Laboratorios de Servicios Analíticos de la Escuela de Química (LASA) documentan el muestreo de estiércol fresco el 10 de noviembre de 2025. LASA recibió esas muestras el 11 de noviembre, realizó el análisis del 13 al 14 de noviembre y emitió el informe el 19 de noviembre. Las fotografías registran trabajo experimental en el Laboratorio de Bioenergía de la Escuela de Ingeniería de Biosistemas de la Universidad de Costa Rica entre el 10 y el 11 de noviembre, sin implicar que todos los materiales se procesaran el mismo día. El Centro de Investigaciones Agronómicas (CIA) recibió el precompostado y las aguas verdes el 10 de noviembre y emitió sus informes el 21 de noviembre; recibió los purines el 17 de noviembre y emitió el informe correspondiente el 28 de noviembre.</w:t>
      </w:r>
    </w:p>
    <w:p>
      <w:pPr>
        <w:spacing w:line="240" w:lineRule="auto" w:before="0" w:after="0"/>
        <w:ind w:left="100" w:firstLine="719"/>
        <w:jc w:val="both"/>
      </w:pPr>
      <w:r>
        <w:rPr>
          <w:rFonts w:ascii="Times New Roman" w:hAnsi="Times New Roman"/>
          <w:sz w:val="24"/>
        </w:rPr>
        <w:t>En M2, las fotografías documentan la preparación de campo el 20 de julio de 2026 y el trabajo en el Laboratorio de Bioenergía el 21 de julio. LASA recibió el estiércol fresco el 23 de julio, realizó el análisis entre el 24 de julio y el 4 de agosto y emitió el informe el 5 de agosto. El CIA recibió el precompostado y las aguas verdes el 23 de julio y emitió sus informes el 30 de julio; recibió los purines el 27 de julio y emitió el informe el 6 de agosto. Las fechas de recepción o emisión no se utilizaron como sustitutos de fechas de muestreo o de análisis cuando estas no constaban expresamente.</w:t>
      </w:r>
    </w:p>
    <w:p>
      <w:pPr>
        <w:spacing w:line="240" w:lineRule="auto" w:before="0" w:after="0"/>
        <w:ind w:left="100" w:firstLine="719"/>
        <w:jc w:val="both"/>
      </w:pPr>
      <w:r>
        <w:rPr>
          <w:rFonts w:ascii="Times New Roman" w:hAnsi="Times New Roman"/>
          <w:sz w:val="24"/>
        </w:rPr>
        <w:t>Se distinguieron submuestra, muestra compuesta y réplica analítica. Cada muestra compuesta sólida reunió aproximadamente 500 g a partir de cinco submuestras de cerca de 100 g. El estiércol fresco se tomó en cinco puntos aleatorios de la sala de espera donde permanecían las vacas antes del ordeño. El estiércol precompostado se tomó en cinco puntos aleatorios de la pila con mayor tiempo de permanencia, cuyo material estaba listo para alimentar las lombrices. Por tanto, esta segunda muestra representa la salida de A1 y la entrada a A2, no una muestra de lombricompost terminado.</w:t>
      </w:r>
    </w:p>
    <w:p>
      <w:pPr>
        <w:spacing w:line="240" w:lineRule="auto" w:before="0" w:after="0"/>
        <w:ind w:left="100" w:firstLine="719"/>
        <w:jc w:val="both"/>
      </w:pPr>
      <w:r>
        <w:rPr>
          <w:rFonts w:ascii="Times New Roman" w:hAnsi="Times New Roman"/>
          <w:sz w:val="24"/>
        </w:rPr>
        <w:t>Las aguas verdes y los purines se muestrearon en campañas separadas y en condiciones operativas distintas, aunque se utilizó la misma tanqueta. Antes de la toma, el contenido se removió manualmente desde el fondo durante aproximadamente 2 min con un rastrillo. Luego se reunieron cinco alícuotas consecutivas de cerca de 100 mL, tomadas con un vaso de laboratorio desde una misma abertura, hasta obtener aproximadamente 500 mL. Las dos aberturas de la tanqueta estaban muy próximas; el procedimiento no se interpreta como un muestreo espacial de zonas distantes.</w:t>
      </w:r>
    </w:p>
    <w:p>
      <w:pPr>
        <w:spacing w:line="240" w:lineRule="auto" w:before="0" w:after="0"/>
        <w:ind w:left="100" w:firstLine="719"/>
        <w:jc w:val="both"/>
      </w:pPr>
      <w:r>
        <w:rPr>
          <w:rFonts w:ascii="Times New Roman" w:hAnsi="Times New Roman"/>
          <w:sz w:val="24"/>
        </w:rPr>
        <w:t>Antes de cada muestreo líquido, la tanqueta se vació el jueves por la tarde y recibió entradas continuas hasta el lunes por la mañana; durante ese intervalo de acumulación previo al muestreo ocurrieron dos lavados de la sala de espera. La muestra representó una acumulación operacional dinámica y no una carga estática aislada. Esta condición específica de campaña se mantuvo separada de la frecuencia operativa anual, representada por el vaciado aproximado cada tres días.</w:t>
      </w:r>
    </w:p>
    <w:p>
      <w:pPr>
        <w:spacing w:line="240" w:lineRule="auto" w:before="0" w:after="0"/>
        <w:ind w:left="100" w:firstLine="719"/>
        <w:jc w:val="both"/>
      </w:pPr>
      <w:r>
        <w:rPr>
          <w:rFonts w:ascii="Times New Roman" w:hAnsi="Times New Roman"/>
          <w:sz w:val="24"/>
        </w:rPr>
        <w:t>En M1 se obtuvieron, para cada sólido, dos muestras compuestas destinadas al Laboratorio de Bioenergía y otras dos muestras compuestas físicamente independientes destinadas al laboratorio externo: LASA para estiércol fresco y el Laboratorio de Suelos y Foliares del CIA para precompostado. En M2 se obtuvieron tres muestras compuestas por sólido; de cada una se tomaron tres réplicas para el Laboratorio de Bioenergía y el material remanente de esas mismas muestras se remitió a LASA o CIA. En M1 se recolectaron además dos muestras compuestas de cada líquido y en M2, tres. El Apéndice D presenta el diseño ejecutado sin reproducir las observaciones ni las réplicas crudas.</w:t>
      </w:r>
    </w:p>
    <w:p>
      <w:pPr>
        <w:pStyle w:val="Heading3"/>
      </w:pPr>
      <w:r>
        <w:rPr>
          <w:rFonts w:ascii="Times New Roman" w:hAnsi="Times New Roman"/>
          <w:color w:val="000000"/>
        </w:rPr>
        <w:t>4.3.2 Preparación, conservación y transporte</w:t>
      </w:r>
    </w:p>
    <w:p>
      <w:pPr>
        <w:spacing w:line="240" w:lineRule="auto" w:before="0" w:after="0"/>
        <w:ind w:left="100" w:firstLine="719"/>
        <w:jc w:val="both"/>
      </w:pPr>
      <w:r>
        <w:rPr>
          <w:rFonts w:ascii="Times New Roman" w:hAnsi="Times New Roman"/>
          <w:sz w:val="24"/>
        </w:rPr>
        <w:t>Las muestras se colocaron en recipientes de polipropileno para alimentos con capacidad aproximada de 750–900 mL, se etiquetaron y se transportaron desde Turrialba hasta la Universidad de Costa Rica en San Pedro dentro de una hielera con hielo. En M2, la identidad física compartida entre el Laboratorio de Bioenergía y los laboratorios externos se conservó tomando primero las porciones requeridas para la gravimetría y remitiendo después el material remanente de cada muestra compuesta.</w:t>
      </w:r>
    </w:p>
    <w:p>
      <w:pPr>
        <w:spacing w:line="240" w:lineRule="auto" w:before="0" w:after="0"/>
        <w:ind w:left="100" w:firstLine="719"/>
        <w:jc w:val="both"/>
      </w:pPr>
      <w:r>
        <w:rPr>
          <w:rFonts w:ascii="Times New Roman" w:hAnsi="Times New Roman"/>
          <w:sz w:val="24"/>
        </w:rPr>
        <w:t>La Figura 3 relaciona la toma de submuestras sólidas y líquidas con la preparación previa de la tanqueta y con las condiciones de conservación descritas. La evidencia fotográfica complementa el registro experimental y no permite identificar por sí sola si el líquido de la secuencia mostrada correspondía a aguas verdes o purines.</w:t>
      </w:r>
    </w:p>
    <w:p>
      <w:pPr>
        <w:pStyle w:val="Rótuloacadémico"/>
        <w:keepNext/>
      </w:pPr>
      <w:r>
        <w:rPr>
          <w:rFonts w:ascii="Times New Roman" w:hAnsi="Times New Roman"/>
          <w:b/>
          <w:color w:val="000000"/>
        </w:rPr>
        <w:t>Figura 3</w:t>
      </w:r>
    </w:p>
    <w:p>
      <w:pPr>
        <w:pStyle w:val="Descripciónacadémica"/>
        <w:keepNext/>
      </w:pPr>
      <w:r>
        <w:rPr>
          <w:rFonts w:ascii="Times New Roman" w:hAnsi="Times New Roman"/>
          <w:i/>
          <w:color w:val="000000"/>
        </w:rPr>
        <w:t>Procedimiento de muestreo y conservación de las muestras: (a) toma de una submuestra de estiércol fresco en la sala de espera; (b) vaso de laboratorio empleado para obtener las alícuotas líquidas; (c) rastrillo utilizado para remover previamente el contenido de la tanqueta; y (d) conservación de las muestras en una hielera con hielo para el transporte desde Turrialba hasta la UCR.</w:t>
      </w:r>
    </w:p>
    <w:p>
      <w:pPr>
        <w:ind w:left="0" w:firstLine="0"/>
        <w:jc w:val="center"/>
      </w:pPr>
      <w:r>
        <w:drawing>
          <wp:inline xmlns:a="http://schemas.openxmlformats.org/drawingml/2006/main" xmlns:pic="http://schemas.openxmlformats.org/drawingml/2006/picture">
            <wp:extent cx="5486400" cy="4285349"/>
            <wp:docPr id="3" name="Picture 3"/>
            <wp:cNvGraphicFramePr>
              <a:graphicFrameLocks noChangeAspect="1"/>
            </wp:cNvGraphicFramePr>
            <a:graphic>
              <a:graphicData uri="http://schemas.openxmlformats.org/drawingml/2006/picture">
                <pic:pic>
                  <pic:nvPicPr>
                    <pic:cNvPr id="0" name="fig_fotografica_muestreo_conservacion.jpg"/>
                    <pic:cNvPicPr/>
                  </pic:nvPicPr>
                  <pic:blipFill>
                    <a:blip r:embed="rId12"/>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4.3.3 Determinaciones en el Laboratorio de Bioenergía</w:t>
      </w:r>
    </w:p>
    <w:p>
      <w:pPr>
        <w:spacing w:line="240" w:lineRule="auto" w:before="0" w:after="0"/>
        <w:ind w:left="100" w:firstLine="719"/>
        <w:jc w:val="both"/>
      </w:pPr>
      <w:r>
        <w:rPr>
          <w:rFonts w:ascii="Times New Roman" w:hAnsi="Times New Roman"/>
          <w:sz w:val="24"/>
        </w:rPr>
        <w:t>El Laboratorio de Bioenergía determinó humedad, materia seca, cenizas y sólidos volátiles en estiércol fresco y precompostado, con tres réplicas analíticas por muestra compuesta. Para humedad y materia seca se colocaron aproximadamente 10 g de muestra fresca por réplica en recipientes limpios, secos y previamente pesados. Mediante balanza analítica se registraron por separado la masa del recipiente vacío y la masa del recipiente con la muestra fresca. Las porciones se secaron en estufa a 105 °C durante 16 h, se enfriaron en desecador y se pesaron nuevamente para obtener la masa seca por diferencia y calcular gravimétricamente la materia seca y la humedad. Estas condiciones experimentales también fueron empleadas por Jjagwe et al. (2019) para determinar sólidos totales en estiércol bovino.</w:t>
      </w:r>
    </w:p>
    <w:p>
      <w:pPr>
        <w:spacing w:line="240" w:lineRule="auto" w:before="0" w:after="0"/>
        <w:ind w:left="100" w:firstLine="719"/>
        <w:jc w:val="both"/>
      </w:pPr>
      <w:r>
        <w:rPr>
          <w:rFonts w:ascii="Times New Roman" w:hAnsi="Times New Roman"/>
          <w:sz w:val="24"/>
        </w:rPr>
        <w:t>Para determinar cenizas y sólidos volátiles se transfirió aproximadamente 1 g del material seco a un crisol limpio, seco y previamente pesado. Se registraron la masa del crisol vacío y la masa del crisol con la porción seca; luego se incineró la muestra en mufla a 575 °C durante 4 h, se enfrió el crisol en desecador y se realizó la pesada final. La masa de cenizas se obtuvo como la diferencia entre la masa final y la masa del crisol vacío; los sólidos volátiles correspondieron a la fracción de la masa seca perdida durante la incineración. El procedimiento se apoyó en Leitner et al. (2020), sin atribuirle el carácter de norma universal.</w:t>
      </w:r>
    </w:p>
    <w:p>
      <w:pPr>
        <w:spacing w:line="240" w:lineRule="auto" w:before="0" w:after="0"/>
        <w:ind w:left="100" w:firstLine="719"/>
        <w:jc w:val="both"/>
      </w:pPr>
      <w:r>
        <w:rPr>
          <w:rFonts w:ascii="Times New Roman" w:hAnsi="Times New Roman"/>
          <w:sz w:val="24"/>
        </w:rPr>
        <w:t>El procedimiento documenta funcionalmente una estufa de secado, una mufla, balanzas, crisoles y desecadores. No se consignan fabricante, modelo, placa o número de serie porque esa identificación no está confirmada. La ausencia de esos datos instrumentales no altera los tiempos, temperaturas, masas aproximadas ni secuencia de pesada documentados.</w:t>
      </w:r>
    </w:p>
    <w:p>
      <w:pPr>
        <w:spacing w:line="240" w:lineRule="auto" w:before="0" w:after="0"/>
        <w:ind w:left="100" w:firstLine="719"/>
        <w:jc w:val="both"/>
      </w:pPr>
      <w:r>
        <w:rPr>
          <w:rFonts w:ascii="Times New Roman" w:hAnsi="Times New Roman"/>
          <w:sz w:val="24"/>
        </w:rPr>
        <w:t>La Figura 4 documenta la disposición de porciones, las pesadas, la identificación de las réplicas y el uso del desecador durante el trabajo en el Laboratorio de Bioenergía. En la nomenclatura visible de M2, las letras A y B identifican materiales y no los escenarios del ACV.</w:t>
      </w:r>
    </w:p>
    <w:p>
      <w:pPr>
        <w:pStyle w:val="Rótuloacadémico"/>
        <w:keepNext/>
      </w:pPr>
      <w:r>
        <w:rPr>
          <w:rFonts w:ascii="Times New Roman" w:hAnsi="Times New Roman"/>
          <w:b/>
          <w:color w:val="000000"/>
        </w:rPr>
        <w:t>Figura 4</w:t>
      </w:r>
    </w:p>
    <w:p>
      <w:pPr>
        <w:pStyle w:val="Descripciónacadémica"/>
        <w:keepNext/>
      </w:pPr>
      <w:r>
        <w:rPr>
          <w:rFonts w:ascii="Times New Roman" w:hAnsi="Times New Roman"/>
          <w:i/>
          <w:color w:val="000000"/>
        </w:rPr>
        <w:t>Evidencia del procedimiento fisicoquímico realizado en el Laboratorio de Bioenergía: (a) porciones de muestra dispuestas en recipientes durante M1; (b) balanza analítica utilizada para las pesadas; (c) identificación de recipientes de M2, donde A corresponde a estiércol fresco y B a estiércol precompostado, el primer dígito a la muestra compuesta y el segundo a la réplica analítica; y (d) muestras mantenidas en desecador antes de la pesada, sin que la fotografía permita distinguir si este enfriamiento concreto siguió al horno o a la mufla.</w:t>
      </w:r>
    </w:p>
    <w:p>
      <w:pPr>
        <w:ind w:left="0" w:firstLine="0"/>
        <w:jc w:val="center"/>
      </w:pPr>
      <w:r>
        <w:drawing>
          <wp:inline xmlns:a="http://schemas.openxmlformats.org/drawingml/2006/main" xmlns:pic="http://schemas.openxmlformats.org/drawingml/2006/picture">
            <wp:extent cx="5486400" cy="4285349"/>
            <wp:docPr id="4" name="Picture 4"/>
            <wp:cNvGraphicFramePr>
              <a:graphicFrameLocks noChangeAspect="1"/>
            </wp:cNvGraphicFramePr>
            <a:graphic>
              <a:graphicData uri="http://schemas.openxmlformats.org/drawingml/2006/picture">
                <pic:pic>
                  <pic:nvPicPr>
                    <pic:cNvPr id="0" name="fig_fotografica_bioenergia.jpg"/>
                    <pic:cNvPicPr/>
                  </pic:nvPicPr>
                  <pic:blipFill>
                    <a:blip r:embed="rId13"/>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4.3.4 Determinaciones en LASA y CIA</w:t>
      </w:r>
    </w:p>
    <w:p>
      <w:pPr>
        <w:spacing w:line="240" w:lineRule="auto" w:before="0" w:after="0"/>
        <w:ind w:left="100" w:firstLine="719"/>
        <w:jc w:val="both"/>
      </w:pPr>
      <w:r>
        <w:rPr>
          <w:rFonts w:ascii="Times New Roman" w:hAnsi="Times New Roman"/>
          <w:sz w:val="24"/>
        </w:rPr>
        <w:t>LASA determinó el N total del estiércol fresco mediante Kjeldahl. El procedimiento utilizó entre 0,2 g y 0,3 g de muestra homogénea por triplicado, digestión con mezcla catalítica, destilación por arrastre de vapor hacia una solución receptora y valoración con ácido sulfúrico 0,0500 mol/L. Los resultados se expresaron como porcentaje en masa del material presentado al laboratorio.</w:t>
      </w:r>
    </w:p>
    <w:p>
      <w:pPr>
        <w:spacing w:line="240" w:lineRule="auto" w:before="0" w:after="0"/>
        <w:ind w:left="100" w:firstLine="719"/>
        <w:jc w:val="both"/>
      </w:pPr>
      <w:r>
        <w:rPr>
          <w:rFonts w:ascii="Times New Roman" w:hAnsi="Times New Roman"/>
          <w:sz w:val="24"/>
        </w:rPr>
        <w:t>En M1, el CIA determinó por separado N–NH₄, N–NO₃ y N ureico en aguas verdes y purines. Estas especies se conservaron para trazabilidad y no se sumaron para reconstruir N total. En M2, el CIA determinó N total de ambos líquidos mediante digestión húmeda de 10 g con ácido sulfúrico por Kjeldahl, aforo a 250 mL y determinación colorimétrica mediante análisis por inyección en flujo. Los decimales internos almacenados se conservaron para el cálculo, sin atribuirles una precisión analítica formal mayor que la reportada por el laboratorio.</w:t>
      </w:r>
    </w:p>
    <w:p>
      <w:pPr>
        <w:spacing w:line="240" w:lineRule="auto" w:before="0" w:after="0"/>
        <w:ind w:left="100" w:firstLine="719"/>
        <w:jc w:val="both"/>
      </w:pPr>
      <w:r>
        <w:rPr>
          <w:rFonts w:ascii="Times New Roman" w:hAnsi="Times New Roman"/>
          <w:sz w:val="24"/>
        </w:rPr>
        <w:t>Para el precompostado, el CIA secó el material a 80 °C durante 48 h, lo molió, lo cribó a 1 mm y pesó aproximadamente 80–100 mg para determinar N y C por combustión seca de Dumas en un autoanalizador Elementar Vario Macro Cube. Este acondicionamiento no fue una determinación de humedad y no sustituyó la gravimetría independiente del Laboratorio de Bioenergía a 105 °C durante 16 h.</w:t>
      </w:r>
    </w:p>
    <w:p>
      <w:pPr>
        <w:spacing w:line="240" w:lineRule="auto" w:before="0" w:after="0"/>
        <w:ind w:left="100" w:firstLine="719"/>
        <w:jc w:val="both"/>
      </w:pPr>
      <w:r>
        <w:rPr>
          <w:rFonts w:ascii="Times New Roman" w:hAnsi="Times New Roman"/>
          <w:sz w:val="24"/>
        </w:rPr>
        <w:t>El porcentaje integrado de N del precompostado se conservó en la base preparada por el CIA. Únicamente para construir la referencia experimental en base húmeda de A2 se combinó con la materia seca gravimétrica del Laboratorio de Bioenergía. Esa referencia se utilizó como contraste: A2 recibió productivamente el N total y el nitrógeno amoniacal total propagados desde A1. El carbono y la relación C/N permanecieron como caracterización descriptiva, sin conversión a base húmeda ni consumo en el ACV.</w:t>
      </w:r>
    </w:p>
    <w:p>
      <w:pPr>
        <w:pStyle w:val="Heading3"/>
      </w:pPr>
      <w:r>
        <w:rPr>
          <w:rFonts w:ascii="Times New Roman" w:hAnsi="Times New Roman"/>
          <w:color w:val="000000"/>
        </w:rPr>
        <w:t>4.3.5 Integración M1–M2 y relación con el modelo</w:t>
      </w:r>
    </w:p>
    <w:p>
      <w:pPr>
        <w:spacing w:line="240" w:lineRule="auto" w:before="0" w:after="0"/>
        <w:ind w:left="100" w:firstLine="719"/>
        <w:jc w:val="both"/>
      </w:pPr>
      <w:r>
        <w:rPr>
          <w:rFonts w:ascii="Times New Roman" w:hAnsi="Times New Roman"/>
          <w:sz w:val="24"/>
        </w:rPr>
        <w:t>La jerarquía estadística fue réplica analítica, muestra compuesta, promedio de campaña e integración entre campañas. Primero se resumieron las réplicas dentro de cada muestra compuesta y las muestras dentro de cada campaña; después se integraron los promedios de las campañas elegibles. Las réplicas analíticas no se trataron como observaciones temporales independientes y M1 y M2 recibieron igual peso, aunque M2 contuviera más muestras y réplicas.</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mediante la media de sus promedios de campaña. Cuando una variable no fue compatible, no se forzó la combinación: en líquidos, M1 correspondió a especiación y se mantuvo como trazabilidad, mientras que el N total provisional procedió solo de M2 mediante Kjeldahl. No se aplicaron pruebas inferenciales.</w:t>
      </w:r>
    </w:p>
    <w:p>
      <w:pPr>
        <w:spacing w:line="240" w:lineRule="auto" w:before="0" w:after="0"/>
        <w:ind w:left="100" w:firstLine="719"/>
        <w:jc w:val="both"/>
      </w:pPr>
      <w:r>
        <w:rPr>
          <w:rFonts w:ascii="Times New Roman" w:hAnsi="Times New Roman"/>
          <w:sz w:val="24"/>
        </w:rPr>
        <w:t>La transformación de estiércol fresco a precompostado se calculó primero por campaña a partir de la materia seca y las cenizas de ambos materiales. Después se integraron las razones de M1 y M2 con igual peso temporal y la diferencia de masa se derivó de esa razón integrada; no se construyó a partir de un promedio global previo de las cuatro mediciones.</w:t>
      </w:r>
    </w:p>
    <w:p>
      <w:pPr>
        <w:spacing w:line="240" w:lineRule="auto" w:before="0" w:after="0"/>
        <w:ind w:left="100" w:firstLine="719"/>
        <w:jc w:val="both"/>
      </w:pPr>
      <w:r>
        <w:rPr>
          <w:rFonts w:ascii="Times New Roman" w:hAnsi="Times New Roman"/>
          <w:sz w:val="24"/>
        </w:rPr>
        <w:t>La secuencia experimental fue muestra, determinación, resultado analítico, resumen de campaña, integración M1–M2, parámetro experimental y consumo por una etapa o ecuación. La materia seca y los sólidos volátiles del estiércol fresco alimentaron las estimaciones de CH₄ de A1, A3 y B1; las variables equivalentes del precompostado alimentaron A2. La materia seca y las cenizas de ambos sólidos construyeron la transformación A1→A2. El N del estiércol fresco inicializó el N total en A1, A3 y B1, mientras que el N del precompostado y de los líquidos se conservó como contraste sin reinicializar las cadenas propagadas.</w:t>
      </w:r>
    </w:p>
    <w:p>
      <w:pPr>
        <w:spacing w:line="240" w:lineRule="auto" w:before="0" w:after="0"/>
        <w:ind w:left="100" w:firstLine="719"/>
        <w:jc w:val="both"/>
      </w:pPr>
      <w:r>
        <w:rPr>
          <w:rFonts w:ascii="Times New Roman" w:hAnsi="Times New Roman"/>
          <w:sz w:val="24"/>
        </w:rPr>
        <w:t>La corrida permanece identificada como PROVISIONAL M1–M2. M3 está pendiente y no interviene en los datos, parámetros, ecuaciones o resultados presentados en esta versión.</w:t>
      </w:r>
    </w:p>
    <w:p>
      <w:pPr>
        <w:spacing w:line="240" w:lineRule="auto" w:before="0" w:after="0"/>
        <w:ind w:left="100" w:firstLine="719"/>
        <w:jc w:val="both"/>
      </w:pPr>
      <w:r>
        <w:rPr>
          <w:rFonts w:ascii="Times New Roman" w:hAnsi="Times New Roman"/>
          <w:sz w:val="24"/>
        </w:rPr>
        <w:t>La Tabla 2 sintetiza la relación entre el punto de muestreo, las determinaciones, el laboratorio y la función metodológica, sin duplicar la matriz general por etapa ni trasladar al cuerpo las réplicas crudas.</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Procedencia experimental, determinaciones y función metodológica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física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Determinaciones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Laboratorio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con 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Sala de espera; cinco submuestras de puntos aleatorios por muestra compuesta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y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y LASA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 A3: Almacenamiento de aguas verdes; 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para CH₄; N total para inicializar N y TAN en las fronteras frescas; cenizas para la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Pila con mayor permanencia, lista para alimentar las lombrices; no corresponde a lombricompost terminado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N total, C y 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y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A1 y material de entrada a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para la transformación A1→A2; materia seca y sólidos volátiles para CH₄; N como referencia de contraste sin reinicializar A2; C y C/N como caracterización descriptiva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del Escenario A,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 y 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durante la operación temporal del Escenario B,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 y 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bl>
    <w:p>
      <w:pPr>
        <w:pStyle w:val="Heading2"/>
      </w:pPr>
      <w:r>
        <w:rPr>
          <w:rFonts w:ascii="Times New Roman" w:hAnsi="Times New Roman"/>
          <w:color w:val="000000"/>
        </w:rPr>
        <w:t>4.4 Fuentes y levantamiento del inventario</w:t>
      </w:r>
    </w:p>
    <w:p>
      <w:pPr>
        <w:spacing w:line="240" w:lineRule="auto" w:before="0" w:after="0"/>
        <w:ind w:left="100" w:firstLine="719"/>
        <w:jc w:val="both"/>
      </w:pPr>
      <w:r>
        <w:rPr>
          <w:rFonts w:ascii="Times New Roman" w:hAnsi="Times New Roman"/>
          <w:sz w:val="24"/>
        </w:rP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 dentro del flujo de trabajo.</w:t>
      </w:r>
    </w:p>
    <w:p>
      <w:pPr>
        <w:spacing w:line="240" w:lineRule="auto" w:before="0" w:after="0"/>
        <w:ind w:left="100" w:firstLine="719"/>
        <w:jc w:val="both"/>
      </w:pPr>
      <w:r>
        <w:rPr>
          <w:rFonts w:ascii="Times New Roman" w:hAnsi="Times New Roman"/>
          <w:sz w:val="24"/>
        </w:rPr>
        <w:t>La procedencia y el tratamiento se registraron por separado. Se clasificaron como mediciones experimentales los resultados obtenidos específicamente de las muestras del TFG, incluidos los servicios analíticos de CIA y LASA. Las características verificadas presencialmente, como la potencia nominal indicada en la placa de la bomba, se clasificaron como observaciones directas.</w:t>
      </w:r>
    </w:p>
    <w:p>
      <w:pPr>
        <w:spacing w:line="240" w:lineRule="auto" w:before="0" w:after="0"/>
        <w:ind w:left="100" w:firstLine="719"/>
        <w:jc w:val="both"/>
      </w:pPr>
      <w:r>
        <w:rPr>
          <w:rFonts w:ascii="Times New Roman" w:hAnsi="Times New Roman"/>
          <w:sz w:val="24"/>
        </w:rPr>
        <w:t>Los parámetros operativos sin mediciones instrumentales o registros documentales suficientes se obtuvieron mediante consultas presenciales con Saúl Brenes Gamboa, administrador y responsable académico de la lechería. Cuando fue necesario, él consultó al personal encargado de las operaciones habituales y comunicó posteriormente las estimaciones al investigador. Esta información se trató como comunicación primaria de campo con un informante clave, no como una entrevista formal ni como mediciones realizadas por Saúl o por los operarios. Sus valores aproximados representan el conocimiento operativo disponible y conservan la incertidumbre asociada con la ausencia de registros instrumentales.</w:t>
      </w:r>
    </w:p>
    <w:p>
      <w:pPr>
        <w:spacing w:line="240" w:lineRule="auto" w:before="0" w:after="0"/>
        <w:ind w:left="100" w:firstLine="719"/>
        <w:jc w:val="both"/>
      </w:pPr>
      <w:r>
        <w:rPr>
          <w:rFonts w:ascii="Times New Roman" w:hAnsi="Times New Roman"/>
          <w:sz w:val="24"/>
        </w:rPr>
        <w:t>Los datos preexistentes de la misma lechería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 La eficiencia de la bomba de 0,80 y el consumo de diésel de 3 L/h se mantuvieron como supuestos de modelación: no fueron mediciones ni se atribuyeron al informante. En cambio, los 686,5 L/día de agua de lavado procedieron de Sánchez-Romero y Brenes-Gamboa (2026), y la potencia nominal de 1,5 kW se obtuvo de la placa del equipo.</w:t>
      </w:r>
    </w:p>
    <w:p>
      <w:pPr>
        <w:spacing w:line="240" w:lineRule="auto" w:before="0" w:after="0"/>
        <w:ind w:left="100" w:firstLine="719"/>
        <w:jc w:val="both"/>
      </w:pPr>
      <w:r>
        <w:rPr>
          <w:rFonts w:ascii="Times New Roman" w:hAnsi="Times New Roman"/>
          <w:sz w:val="24"/>
        </w:rPr>
        <w:t>La masa anual común de aproximadamente 26 278,7 kg de estiércol fresco/año fue un resultado calculado y no un valor publicado directamente. Sánchez-Romero y Brenes-Gamboa (2026) aportaron la masa viva media de 396,6 kg/animal, una población media de 18 animales, una permanencia aproximada de 3,5 h/día, 2,7 kg/animal recolectados durante las actividades evaluadas y 17 525,1 kg/año recolectados. El TFG adoptó separadamente el límite inferior de 7 % de la masa viva por día del intervalo bibliográfico citado por esos autores. La generación diaria teórica por animal se prorrateó por la permanencia de 3,5/24 del día; la fracción recolectada se estimó al dividir la masa recolectada por animal entre ese depósito teórico, y la masa total anual depositada se obtuvo al dividir el total anual recolectado entre la fracción estimada. La precisión completa se conservó para los cálculos, mientras que el texto presenta una precisión acorde con los datos de entrada.</w:t>
      </w:r>
    </w:p>
    <w:p>
      <w:pPr>
        <w:spacing w:line="240" w:lineRule="auto" w:before="0" w:after="0"/>
        <w:ind w:left="100" w:firstLine="719"/>
        <w:jc w:val="both"/>
      </w:pPr>
      <w:r>
        <w:rPr>
          <w:rFonts w:ascii="Times New Roman" w:hAnsi="Times New Roman"/>
          <w:sz w:val="24"/>
        </w:rP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pPr>
        <w:spacing w:line="240" w:lineRule="auto" w:before="0" w:after="0"/>
        <w:ind w:left="100" w:firstLine="719"/>
        <w:jc w:val="both"/>
      </w:pPr>
      <w:r>
        <w:rPr>
          <w:rFonts w:ascii="Times New Roman" w:hAnsi="Times New Roman"/>
          <w:sz w:val="24"/>
        </w:rPr>
        <w:t>La Tabla 3 resume seis macrofamilias de datos y su uso. El Apéndice B, Matriz detallada de procedencia de los datos del inventario, conserva las 15 familias, etapas, subtipos, fuentes concretas y tratamientos necesarios para la trazabilidad fina.</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Procedencia y tratamiento de las familias de datos del inventario.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directa o comunicación presencial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como estimación operativa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Tabla 4 sintetiza la secuencia metodológica de cada etapa A1–B2. El Apéndice C, Matriz detallada de trazabilidad metodológica por etapa A1–B2, relaciona cada fenómeno con su ecuación vigente, dato de actividad, factor, procedencia, fuente y uso posterior.</w:t>
      </w:r>
    </w:p>
    <w:p>
      <w:pPr>
        <w:spacing w:line="240" w:lineRule="auto" w:before="0" w:after="0"/>
        <w:ind w:left="100" w:firstLine="719"/>
        <w:jc w:val="both"/>
      </w:pPr>
      <w:r>
        <w:rPr>
          <w:rFonts w:ascii="Times New Roman" w:hAnsi="Times New Roman"/>
          <w:sz w:val="24"/>
        </w:rPr>
        <w:t>Esta vista conserva separadas la generación del inventario y la caracterización de impactos: una emisión elemental o un consumo se obtiene primero y, cuando corresponde, se vincula después con el factor de Environmental Footprint 3.1. La electricidad mantiene el resultado agregado del Instituto Meteorológico Nacional y no se presenta como un flujo elemental caracterizado.</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Síntesis de la trazabilidad metodológica por etapa A1–B2.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4.5 Construcción de masas y bases experimentales</w:t>
      </w:r>
    </w:p>
    <w:p>
      <w:pPr>
        <w:spacing w:line="240" w:lineRule="auto" w:before="0" w:after="0"/>
        <w:ind w:left="100" w:firstLine="719"/>
        <w:jc w:val="both"/>
      </w:pPr>
      <w:r>
        <w:rPr>
          <w:rFonts w:ascii="Times New Roman" w:hAnsi="Times New Roman"/>
          <w:sz w:val="24"/>
        </w:rPr>
        <w:t>Las masas anuales de las seis etapas se construyeron a partir del estiércol fresco recolectado, la fracción recolectada respecto del depósito teórico en la sala de ordeño, el balance de la fracción remanente y el volumen anual de agua de lavado. El primer conjunto de relaciones define las masas de estiércol que ingresan a A1, A3 y B1; todas se expresan en kg/año.</w:t>
      </w:r>
    </w:p>
    <w:p>
      <w:pPr>
        <w:spacing w:line="240" w:lineRule="auto" w:before="0" w:after="0"/>
        <w:ind w:left="100" w:firstLine="719"/>
        <w:jc w:val="both"/>
      </w:pPr>
      <w:r>
        <w:rPr>
          <w:rFonts w:ascii="Times New Roman" w:hAnsi="Times New Roman"/>
          <w:sz w:val="24"/>
        </w:rPr>
        <w:t>En estas relaciones, m A1 es la masa recolectada, f recolectada es la fracción del depósito teórico recuperada por paleado, m B1 es la masa total teóricamente depositada y m A3 es la masa remanente arrastrable.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A</m:t>
                        </m:r>
                        <m:r>
                          <m:rPr>
                            <m:sty m:val="p"/>
                          </m:rPr>
                          <m:t>1</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r>
              <m:rPr>
                <m:sty m:val="i"/>
              </m:rPr>
              <m:t>;</m:t>
            </m:r>
            <m:r>
              <m:t/>
            </m:r>
            <m:sSub>
              <m:e>
                <m:r>
                  <m:rPr>
                    <m:sty m:val="i"/>
                  </m:rPr>
                  <m:t>m</m:t>
                </m:r>
              </m:e>
              <m:sub>
                <m:box>
                  <m:e>
                    <m:box>
                      <m:e>
                        <m:r>
                          <m:rPr>
                            <m:sty m:val="p"/>
                          </m:rPr>
                          <m:t>B</m:t>
                        </m:r>
                        <m:r>
                          <m:rPr>
                            <m:sty m:val="p"/>
                          </m:rPr>
                          <m:t>1</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num>
              <m:den>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den>
            </m:f>
            <m:r>
              <m:rPr>
                <m:sty m:val="i"/>
              </m:rPr>
              <m:t>;</m:t>
            </m:r>
            <m:r>
              <m:t/>
            </m:r>
            <m:sSub>
              <m:e>
                <m:r>
                  <m:rPr>
                    <m:sty m:val="i"/>
                  </m:rPr>
                  <m:t>m</m:t>
                </m:r>
              </m:e>
              <m:sub>
                <m:box>
                  <m:e>
                    <m:box>
                      <m:e>
                        <m:r>
                          <m:rPr>
                            <m:sty m:val="p"/>
                          </m:rPr>
                          <m:t>A</m:t>
                        </m:r>
                        <m:r>
                          <m:rPr>
                            <m:sty m:val="p"/>
                          </m:rPr>
                          <m:t>3</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ab/>
        <w:t>(1)</w:t>
      </w:r>
    </w:p>
    <w:p>
      <w:pPr>
        <w:spacing w:line="240" w:lineRule="auto" w:before="0" w:after="0"/>
        <w:ind w:left="100" w:firstLine="719"/>
        <w:jc w:val="both"/>
      </w:pPr>
      <w:r>
        <w:rPr>
          <w:rFonts w:ascii="Times New Roman" w:hAnsi="Times New Roman"/>
          <w:sz w:val="24"/>
        </w:rPr>
        <w:t>Las masas equivalentes de A4 y B2 expresan la mezcla física o dilución del estiércol con el agua de lavado. No crean N, no reinicializan N total ni nitrógeno amoniacal total (TAN, por sus siglas en inglés) y no constituyen la base de las ecuaciones nitrogenadas del suelo, que reciben las reservas propagadas desde A3 y B1.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e</m:t>
                        </m:r>
                        <m:r>
                          <m:rPr>
                            <m:sty m:val="p"/>
                          </m:rPr>
                          <m:t>q</m:t>
                        </m:r>
                        <m:r>
                          <m:rPr>
                            <m:sty m:val="p"/>
                          </m:rPr>
                          <m:t>,</m:t>
                        </m:r>
                        <m:r>
                          <m:rPr>
                            <m:sty m:val="p"/>
                          </m:rPr>
                          <m:t>A</m:t>
                        </m:r>
                        <m:r>
                          <m:rPr>
                            <m:sty m:val="p"/>
                          </m:rPr>
                          <m:t>4</m:t>
                        </m:r>
                      </m:e>
                    </m:box>
                  </m:e>
                </m:box>
              </m:sub>
            </m:sSub>
            <m:r>
              <m:rPr>
                <m:sty m:val="p"/>
              </m:rPr>
              <m:t>=</m:t>
            </m:r>
            <m:sSub>
              <m:e>
                <m:r>
                  <m:rPr>
                    <m:sty m:val="i"/>
                  </m:rPr>
                  <m:t>m</m:t>
                </m:r>
              </m:e>
              <m:sub>
                <m:box>
                  <m:e>
                    <m:box>
                      <m:e>
                        <m:r>
                          <m:rPr>
                            <m:sty m:val="p"/>
                          </m:rPr>
                          <m:t>A</m:t>
                        </m:r>
                        <m:r>
                          <m:rPr>
                            <m:sty m:val="p"/>
                          </m:rPr>
                          <m:t>3</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r>
              <m:rPr>
                <m:sty m:val="i"/>
              </m:rPr>
              <m:t>;</m:t>
            </m:r>
            <m:r>
              <m:t/>
            </m:r>
            <m:sSub>
              <m:e>
                <m:r>
                  <m:rPr>
                    <m:sty m:val="i"/>
                  </m:rPr>
                  <m:t>m</m:t>
                </m:r>
              </m:e>
              <m:sub>
                <m:box>
                  <m:e>
                    <m:box>
                      <m:e>
                        <m:r>
                          <m:rPr>
                            <m:sty m:val="p"/>
                          </m:rPr>
                          <m:t>e</m:t>
                        </m:r>
                        <m:r>
                          <m:rPr>
                            <m:sty m:val="p"/>
                          </m:rPr>
                          <m:t>q</m:t>
                        </m:r>
                        <m:r>
                          <m:rPr>
                            <m:sty m:val="p"/>
                          </m:rPr>
                          <m:t>,</m:t>
                        </m:r>
                        <m:r>
                          <m:rPr>
                            <m:sty m:val="p"/>
                          </m:rPr>
                          <m:t>B</m:t>
                        </m:r>
                        <m:r>
                          <m:rPr>
                            <m:sty m:val="p"/>
                          </m:rPr>
                          <m:t>2</m:t>
                        </m:r>
                      </m:e>
                    </m:box>
                  </m:e>
                </m:box>
              </m:sub>
            </m:sSub>
            <m:r>
              <m:rPr>
                <m:sty m:val="p"/>
              </m:rPr>
              <m:t>=</m:t>
            </m:r>
            <m:sSub>
              <m:e>
                <m:r>
                  <m:rPr>
                    <m:sty m:val="i"/>
                  </m:rPr>
                  <m:t>m</m:t>
                </m:r>
              </m:e>
              <m:sub>
                <m:box>
                  <m:e>
                    <m:box>
                      <m:e>
                        <m:r>
                          <m:rPr>
                            <m:sty m:val="p"/>
                          </m:rPr>
                          <m:t>B</m:t>
                        </m:r>
                        <m:r>
                          <m:rPr>
                            <m:sty m:val="p"/>
                          </m:rPr>
                          <m:t>1</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e>
        </m:box>
      </m:oMath>
      <w:r>
        <w:rPr>
          <w:rFonts w:ascii="Times New Roman" w:hAnsi="Times New Roman"/>
          <w:sz w:val="24"/>
        </w:rPr>
        <w:tab/>
        <w:t>(2)</w:t>
      </w:r>
    </w:p>
    <w:p>
      <w:pPr>
        <w:spacing w:line="240" w:lineRule="auto" w:before="0" w:after="0"/>
        <w:ind w:left="100" w:firstLine="719"/>
        <w:jc w:val="both"/>
      </w:pPr>
      <w:r>
        <w:rPr>
          <w:rFonts w:ascii="Times New Roman" w:hAnsi="Times New Roman"/>
          <w:sz w:val="24"/>
        </w:rPr>
        <w:t>La transformación húmeda A1→A2 se calculó primero en cada jornada elegible mediante R j y luego se integró con igual peso temporal. Las fracciones de materia seca (MS) se expresan respecto de la masa húmeda y las fracciones de cenizas respecto de la materia seca; el acento circunflejo identifica que la masa húmeda de A2 fue inferida, no pesada a la salida de A1.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r>
                  <m:rPr>
                    <m:sty m:val="i"/>
                  </m:rPr>
                  <m:t>j</m:t>
                </m:r>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limUpp>
              <m:e>
                <m:r>
                  <m:rPr>
                    <m:sty m:val="i"/>
                  </m:rPr>
                  <m:t>R</m:t>
                </m:r>
              </m:e>
              <m:lim>
                <m:r>
                  <m:rPr>
                    <m:sty m:val="p"/>
                  </m:rPr>
                  <m:t>―</m:t>
                </m:r>
              </m:lim>
            </m:limUpp>
            <m:r>
              <m:rPr>
                <m:sty m:val="p"/>
              </m:rPr>
              <m:t>=</m:t>
            </m:r>
            <m:f>
              <m:num>
                <m:box>
                  <m:e>
                    <m:r>
                      <m:rPr>
                        <m:sty m:val="p"/>
                      </m:rPr>
                      <m:t>1</m:t>
                    </m:r>
                  </m:e>
                </m:box>
              </m:num>
              <m:den>
                <m:box>
                  <m:e>
                    <m:r>
                      <m:rPr>
                        <m:sty m:val="i"/>
                      </m:rPr>
                      <m:t>n</m:t>
                    </m:r>
                  </m:e>
                </m:box>
              </m:den>
            </m:f>
            <m:nary>
              <m:naryPr>
                <m:chr m:val="∑"/>
                <m:limLoc m:val="undOvr"/>
              </m:naryPr>
              <m:sub>
                <m:box>
                  <m:e>
                    <m:r>
                      <m:rPr>
                        <m:sty m:val="i"/>
                      </m:rPr>
                      <m:t>j</m:t>
                    </m:r>
                    <m:r>
                      <m:rPr>
                        <m:sty m:val="p"/>
                      </m:rPr>
                      <m:t>=</m:t>
                    </m:r>
                    <m:r>
                      <m:rPr>
                        <m:sty m:val="p"/>
                      </m:rPr>
                      <m:t>1</m:t>
                    </m:r>
                  </m:e>
                </m:box>
              </m:sub>
              <m:sup>
                <m:box>
                  <m:e>
                    <m:r>
                      <m:rPr>
                        <m:sty m:val="i"/>
                      </m:rPr>
                      <m:t>n</m:t>
                    </m:r>
                  </m:e>
                </m:box>
              </m:sup>
              <m:e>
                <m:sSub>
                  <m:e>
                    <m:r>
                      <m:rPr>
                        <m:sty m:val="i"/>
                      </m:rPr>
                      <m:t>R</m:t>
                    </m:r>
                  </m:e>
                  <m:sub>
                    <m:r>
                      <m:rPr>
                        <m:sty m:val="i"/>
                      </m:rPr>
                      <m:t>j</m:t>
                    </m:r>
                  </m:sub>
                </m:sSub>
                <m:r>
                  <m:rPr>
                    <m:sty m:val="i"/>
                  </m:rPr>
                  <m:t>;</m:t>
                </m:r>
                <m:r>
                  <m:t/>
                </m:r>
                <m:sSub>
                  <m:e>
                    <m:limUpp>
                      <m:e>
                        <m:r>
                          <m:rPr>
                            <m:sty m:val="i"/>
                          </m:rPr>
                          <m:t>m</m:t>
                        </m:r>
                      </m:e>
                      <m:lim>
                        <m:r>
                          <m:rPr>
                            <m:sty m:val="p"/>
                          </m:rPr>
                          <m:t>^</m:t>
                        </m:r>
                      </m:lim>
                    </m:limUpp>
                  </m:e>
                  <m:sub>
                    <m:box>
                      <m:e>
                        <m:box>
                          <m:e>
                            <m:r>
                              <m:rPr>
                                <m:sty m:val="p"/>
                              </m:rPr>
                              <m:t>A</m:t>
                            </m:r>
                            <m:r>
                              <m:rPr>
                                <m:sty m:val="p"/>
                              </m:rPr>
                              <m:t>2</m:t>
                            </m:r>
                          </m:e>
                        </m:box>
                      </m:e>
                    </m:box>
                  </m:sub>
                </m:sSub>
                <m:r>
                  <m:rPr>
                    <m:sty m:val="p"/>
                  </m:rPr>
                  <m:t>=</m:t>
                </m:r>
                <m:sSub>
                  <m:e>
                    <m:r>
                      <m:rPr>
                        <m:sty m:val="i"/>
                      </m:rPr>
                      <m:t>m</m:t>
                    </m:r>
                  </m:e>
                  <m:sub>
                    <m:box>
                      <m:e>
                        <m:box>
                          <m:e>
                            <m:r>
                              <m:rPr>
                                <m:sty m:val="p"/>
                              </m:rPr>
                              <m:t>A</m:t>
                            </m:r>
                            <m:r>
                              <m:rPr>
                                <m:sty m:val="p"/>
                              </m:rPr>
                              <m:t>1</m:t>
                            </m:r>
                          </m:e>
                        </m:box>
                      </m:e>
                    </m:box>
                  </m:sub>
                </m:sSub>
                <m:r>
                  <m:t/>
                </m:r>
                <m:limUpp>
                  <m:e>
                    <m:r>
                      <m:rPr>
                        <m:sty m:val="i"/>
                      </m:rPr>
                      <m:t>R</m:t>
                    </m:r>
                  </m:e>
                  <m:lim>
                    <m:r>
                      <m:rPr>
                        <m:sty m:val="p"/>
                      </m:rPr>
                      <m:t>―</m:t>
                    </m:r>
                  </m:lim>
                </m:limUpp>
              </m:e>
            </m:nary>
          </m:e>
        </m:box>
      </m:oMath>
      <w:r>
        <w:rPr>
          <w:rFonts w:ascii="Times New Roman" w:hAnsi="Times New Roman"/>
          <w:sz w:val="24"/>
        </w:rPr>
        <w:tab/>
        <w:t>(3)</w:t>
      </w:r>
    </w:p>
    <w:p>
      <w:pPr>
        <w:spacing w:line="240" w:lineRule="auto" w:before="0" w:after="0"/>
        <w:ind w:left="100" w:firstLine="719"/>
        <w:jc w:val="both"/>
      </w:pPr>
      <w:r>
        <w:rPr>
          <w:rFonts w:ascii="Times New Roman" w:hAnsi="Times New Roman"/>
          <w:sz w:val="24"/>
        </w:rPr>
        <w:t>Antes de estimar CH₄, el porcentaje de sólidos volátiles (SV) en base seca se convirtió a fracción de SV en base húmeda mediante la materia seca gravimétrica de la etapa.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r>
              <m:rPr>
                <m:sty m:val="p"/>
              </m:rPr>
              <m:t>=</m:t>
            </m:r>
            <m:box>
              <m:e>
                <m:d>
                  <m:dPr>
                    <m:begChr m:val="("/>
                    <m:endChr m:val=")"/>
                  </m:dPr>
                  <m:e>
                    <m:box>
                      <m:e>
                        <m:f>
                          <m:num>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num>
                          <m:den>
                            <m:box>
                              <m:e>
                                <m:r>
                                  <m:rPr>
                                    <m:sty m:val="p"/>
                                  </m:rPr>
                                  <m:t>100</m:t>
                                </m:r>
                              </m:e>
                            </m:box>
                          </m:den>
                        </m:f>
                      </m:e>
                    </m:box>
                  </m:e>
                </m:d>
              </m:e>
            </m:box>
            <m:box>
              <m:e>
                <m:d>
                  <m:dPr>
                    <m:begChr m:val="("/>
                    <m:endChr m:val=")"/>
                  </m:dPr>
                  <m:e>
                    <m:box>
                      <m:e>
                        <m:f>
                          <m:num>
                            <m:box>
                              <m:e>
                                <m:r>
                                  <m:rPr>
                                    <m:sty m:val="i"/>
                                  </m:rPr>
                                  <m:t>M</m:t>
                                </m:r>
                                <m:r>
                                  <m:rPr>
                                    <m:sty m:val="i"/>
                                  </m:rPr>
                                  <m:t>S</m:t>
                                </m:r>
                              </m:e>
                            </m:box>
                          </m:num>
                          <m:den>
                            <m:box>
                              <m:e>
                                <m:r>
                                  <m:rPr>
                                    <m:sty m:val="p"/>
                                  </m:rPr>
                                  <m:t>100</m:t>
                                </m:r>
                              </m:e>
                            </m:box>
                          </m:den>
                        </m:f>
                      </m:e>
                    </m:box>
                  </m:e>
                </m:d>
              </m:e>
            </m:box>
          </m:e>
        </m:box>
      </m:oMath>
      <w:r>
        <w:rPr>
          <w:rFonts w:ascii="Times New Roman" w:hAnsi="Times New Roman"/>
          <w:sz w:val="24"/>
        </w:rPr>
        <w:tab/>
        <w:t>(4)</w:t>
      </w:r>
    </w:p>
    <w:p>
      <w:pPr>
        <w:spacing w:line="240" w:lineRule="auto" w:before="0" w:after="0"/>
        <w:ind w:left="100" w:firstLine="719"/>
        <w:jc w:val="both"/>
      </w:pPr>
      <w:r>
        <w:rPr>
          <w:rFonts w:ascii="Times New Roman" w:hAnsi="Times New Roman"/>
          <w:sz w:val="24"/>
        </w:rPr>
        <w:t>En las fronteras frescas A1, A3 y B1, N total,entrada se obtuvo multiplicando la masa fresca de estiércol —sin sumar el agua de lavado— por su fracción húmeda de N. Las mediciones intermedias se conservaron como referencias experimentales y no reinicializaron el balance.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t/>
            </m:r>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ab/>
        <w:t>(5)</w:t>
      </w:r>
    </w:p>
    <w:p>
      <w:pPr>
        <w:pStyle w:val="Heading2"/>
      </w:pPr>
      <w:r>
        <w:rPr>
          <w:rFonts w:ascii="Times New Roman" w:hAnsi="Times New Roman"/>
          <w:color w:val="000000"/>
        </w:rPr>
        <w:t>4.6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pStyle w:val="Heading3"/>
      </w:pPr>
      <w:r>
        <w:rPr>
          <w:rFonts w:ascii="Times New Roman" w:hAnsi="Times New Roman"/>
          <w:color w:val="000000"/>
        </w:rPr>
        <w:t>4.6.1 Metano de las etapas de manejo</w:t>
      </w:r>
    </w:p>
    <w:p>
      <w:pPr>
        <w:spacing w:line="240" w:lineRule="auto" w:before="0" w:after="0"/>
        <w:ind w:left="100" w:firstLine="719"/>
        <w:jc w:val="both"/>
      </w:pPr>
      <w:r>
        <w:rPr>
          <w:rFonts w:ascii="Times New Roman" w:hAnsi="Times New Roman"/>
          <w:sz w:val="24"/>
        </w:rPr>
        <w:t>En la ecuación, m CH₄ es la emisión de metano de la etapa; m manejada es la masa húmeda manejada; VS húmeda es la fracción de sólidos volátiles (SV) en base húmeda; B₀ es la capacidad máxima de producción de metano; ρ CH₄ es el factor IPCC de conversión de volumen a masa, 0,67 kg CH₄/m³; MCF es el factor de conversión de metano (MCF, por sus siglas en inglés) y AWMS representa la fracción asignada al sistema de manejo de desechos animales (AWMS, por sus siglas en inglés).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(6)</w:t>
      </w:r>
    </w:p>
    <w:p>
      <w:pPr>
        <w:pStyle w:val="Heading3"/>
      </w:pPr>
      <w:r>
        <w:rPr>
          <w:rFonts w:ascii="Times New Roman" w:hAnsi="Times New Roman"/>
          <w:color w:val="000000"/>
        </w:rPr>
        <w:t>4.6.2 Balance secuencial de N total y TAN</w:t>
      </w:r>
    </w:p>
    <w:p>
      <w:pPr>
        <w:spacing w:line="240" w:lineRule="auto" w:before="0" w:after="0"/>
        <w:ind w:left="100" w:firstLine="719"/>
        <w:jc w:val="both"/>
      </w:pPr>
      <w:r>
        <w:rPr>
          <w:rFonts w:ascii="Times New Roman" w:hAnsi="Times New Roman"/>
          <w:sz w:val="24"/>
        </w:rPr>
        <w:t>TAN fresco es el nitrógeno amoniacal total en la frontera fresca y N total,fresco es el nitrógeno total del estiércol fresco.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(7)</w:t>
      </w:r>
    </w:p>
    <w:p>
      <w:pPr>
        <w:spacing w:line="240" w:lineRule="auto" w:before="0" w:after="0"/>
        <w:ind w:left="100" w:firstLine="719"/>
        <w:jc w:val="both"/>
      </w:pPr>
      <w:r>
        <w:rPr>
          <w:rFonts w:ascii="Times New Roman" w:hAnsi="Times New Roman"/>
          <w:sz w:val="24"/>
        </w:rPr>
        <w:t>En A3 y B1, la mineralización se calculó sobre el N orgánico, definido como la diferencia entre N total y TAN de entrada, antes de estimar en paralelo las pérdidas EMEP/EEA sobre el TAN disponible.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r>
              <m:rPr>
                <m:sty m:val="p"/>
              </m:rPr>
              <m:t>=</m:t>
            </m:r>
            <m:box>
              <m:e>
                <m:d>
                  <m:dPr>
                    <m:begChr m:val="("/>
                    <m:endChr m:val=")"/>
                  </m:dPr>
                  <m:e>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e>
                </m:d>
              </m:e>
            </m:box>
            <m:sSub>
              <m:e>
                <m:r>
                  <m:rPr>
                    <m:sty m:val="i"/>
                  </m:rPr>
                  <m:t>f</m:t>
                </m:r>
              </m:e>
              <m:sub>
                <m:box>
                  <m:e>
                    <m:box>
                      <m:e>
                        <m:r>
                          <m:rPr>
                            <m:sty m:val="p"/>
                          </m:rPr>
                          <m:t>m</m:t>
                        </m:r>
                        <m:r>
                          <m:rPr>
                            <m:sty m:val="p"/>
                          </m:rPr>
                          <m:t>i</m:t>
                        </m:r>
                        <m:r>
                          <m:rPr>
                            <m:sty m:val="p"/>
                          </m:rPr>
                          <m:t>n</m:t>
                        </m:r>
                      </m:e>
                    </m:box>
                  </m:e>
                </m:box>
              </m:sub>
            </m:sSub>
            <m:r>
              <m:rPr>
                <m:sty m:val="i"/>
              </m:rPr>
              <m:t>;</m:t>
            </m:r>
            <m:r>
              <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(8)</w:t>
      </w:r>
    </w:p>
    <w:p>
      <w:pPr>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(9)</w:t>
      </w:r>
    </w:p>
    <w:p>
      <w:pPr>
        <w:spacing w:line="240" w:lineRule="auto" w:before="0" w:after="0"/>
        <w:ind w:left="100" w:firstLine="719"/>
        <w:jc w:val="both"/>
      </w:pPr>
      <w:r>
        <w:rPr>
          <w:rFonts w:ascii="Times New Roman" w:hAnsi="Times New Roman"/>
          <w:sz w:val="24"/>
        </w:rPr>
        <w:t>El cierre de TAN descuenta conjuntamente las tres pérdidas calculadas en paralelo sobre la misma reserva disponible; la ecuación no representa una secuencia ficticia de bases decrecientes.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ab/>
        <w:t>(10)</w:t>
      </w:r>
    </w:p>
    <w:p>
      <w:pPr>
        <w:spacing w:line="240" w:lineRule="auto" w:before="0" w:after="0"/>
        <w:ind w:left="100" w:firstLine="719"/>
        <w:jc w:val="both"/>
      </w:pPr>
      <w:r>
        <w:rPr>
          <w:rFonts w:ascii="Times New Roman" w:hAnsi="Times New Roman"/>
          <w:sz w:val="24"/>
        </w:rPr>
        <w:t>Como excepción exclusiva de A2, Komakech et al. (2016) aporta 12,8 g NH₃ por Mg de entrada húmeda; la masa de NH₃ se convierte después a NH₃-N mediante 14/17. Esta relación no reinicializa N total ni TAN, y NO-N y N₂-N continúan calculándose con EMEP/EEA.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box>
              <m:e>
                <m:d>
                  <m:dPr>
                    <m:begChr m:val="("/>
                    <m:endChr m:val=")"/>
                  </m:dPr>
                  <m:e>
                    <m:box>
                      <m:e>
                        <m:f>
                          <m:num>
                            <m:box>
                              <m:e>
                                <m:sSub>
                                  <m:e>
                                    <m:limUpp>
                                      <m:e>
                                        <m:r>
                                          <m:rPr>
                                            <m:sty m:val="i"/>
                                          </m:rPr>
                                          <m:t>m</m:t>
                                        </m:r>
                                      </m:e>
                                      <m:lim>
                                        <m:r>
                                          <m:rPr>
                                            <m:sty m:val="p"/>
                                          </m:rPr>
                                          <m:t>^</m:t>
                                        </m:r>
                                      </m:lim>
                                    </m:limUpp>
                                  </m:e>
                                  <m:sub>
                                    <m:box>
                                      <m:e>
                                        <m:box>
                                          <m:e>
                                            <m:r>
                                              <m:rPr>
                                                <m:sty m:val="p"/>
                                              </m:rPr>
                                              <m:t>A</m:t>
                                            </m:r>
                                            <m:r>
                                              <m:rPr>
                                                <m:sty m:val="p"/>
                                              </m:rPr>
                                              <m:t>2</m:t>
                                            </m:r>
                                          </m:e>
                                        </m:box>
                                      </m:e>
                                    </m:box>
                                  </m:sub>
                                </m:sSub>
                              </m:e>
                            </m:box>
                          </m:num>
                          <m:den>
                            <m:box>
                              <m:e>
                                <m:r>
                                  <m:rPr>
                                    <m:sty m:val="p"/>
                                  </m:rPr>
                                  <m:t>1000</m:t>
                                </m:r>
                                <m:r>
                                  <m:rPr>
                                    <m:nor/>
                                  </m:rPr>
                                  <m:t> </m:t>
                                </m:r>
                                <m:box>
                                  <m:e>
                                    <m:r>
                                      <m:rPr>
                                        <m:sty m:val="p"/>
                                      </m:rPr>
                                      <m:t>k</m:t>
                                    </m:r>
                                    <m:r>
                                      <m:rPr>
                                        <m:sty m:val="p"/>
                                      </m:rPr>
                                      <m:t>g</m:t>
                                    </m:r>
                                    <m:r>
                                      <m:rPr>
                                        <m:sty m:val="p"/>
                                      </m:rPr>
                                      <m:t>/</m:t>
                                    </m:r>
                                    <m:r>
                                      <m:rPr>
                                        <m:sty m:val="p"/>
                                      </m:rPr>
                                      <m:t>M</m:t>
                                    </m:r>
                                    <m:r>
                                      <m:rPr>
                                        <m:sty m:val="p"/>
                                      </m:rPr>
                                      <m:t>g</m:t>
                                    </m:r>
                                  </m:e>
                                </m:box>
                              </m:e>
                            </m:box>
                          </m:den>
                        </m:f>
                      </m:e>
                    </m:box>
                  </m:e>
                </m:d>
              </m:e>
            </m:box>
            <m:box>
              <m:e>
                <m:d>
                  <m:dPr>
                    <m:begChr m:val="("/>
                    <m:endChr m:val=")"/>
                  </m:dPr>
                  <m:e>
                    <m:box>
                      <m:e>
                        <m:r>
                          <m:rPr>
                            <m:sty m:val="p"/>
                          </m:rPr>
                          <m:t>12</m:t>
                        </m:r>
                        <m:box>
                          <m:e>
                            <m:r>
                              <m:rPr>
                                <m:sty m:val="p"/>
                              </m:rPr>
                              <m:t>,</m:t>
                            </m:r>
                          </m:e>
                        </m:box>
                        <m:r>
                          <m:rPr>
                            <m:sty m:val="p"/>
                          </m:rPr>
                          <m:t>8</m:t>
                        </m:r>
                        <m:r>
                          <m:rPr>
                            <m:nor/>
                          </m:rPr>
                          <m:t> </m:t>
                        </m:r>
                        <m:f>
                          <m:num>
                            <m:box>
                              <m:e>
                                <m:box>
                                  <m:e>
                                    <m:r>
                                      <m:rPr>
                                        <m:sty m:val="p"/>
                                      </m:rPr>
                                      <m:t>g</m:t>
                                    </m:r>
                                    <m:r>
                                      <m:rPr>
                                        <m:nor/>
                                      </m:rPr>
                                      <m:t> </m:t>
                                    </m:r>
                                    <m:r>
                                      <m:rPr>
                                        <m:sty m:val="p"/>
                                      </m:rPr>
                                      <m:t>N</m:t>
                                    </m:r>
                                    <m:sSub>
                                      <m:e>
                                        <m:r>
                                          <m:rPr>
                                            <m:sty m:val="p"/>
                                          </m:rPr>
                                          <m:t>H</m:t>
                                        </m:r>
                                      </m:e>
                                      <m:sub>
                                        <m:r>
                                          <m:rPr>
                                            <m:sty m:val="p"/>
                                          </m:rPr>
                                          <m:t>3</m:t>
                                        </m:r>
                                      </m:sub>
                                    </m:sSub>
                                  </m:e>
                                </m:box>
                              </m:e>
                            </m:box>
                          </m:num>
                          <m:den>
                            <m:box>
                              <m:e>
                                <m:box>
                                  <m:e>
                                    <m:r>
                                      <m:rPr>
                                        <m:sty m:val="p"/>
                                      </m:rPr>
                                      <m:t>M</m:t>
                                    </m:r>
                                    <m:r>
                                      <m:rPr>
                                        <m:sty m:val="p"/>
                                      </m:rPr>
                                      <m:t>g</m:t>
                                    </m:r>
                                  </m:e>
                                </m:box>
                              </m:e>
                            </m:box>
                          </m:den>
                        </m:f>
                      </m:e>
                    </m:box>
                  </m:e>
                </m:d>
              </m:e>
            </m:box>
            <m:box>
              <m:e>
                <m:d>
                  <m:dPr>
                    <m:begChr m:val="("/>
                    <m:endChr m:val=")"/>
                  </m:dPr>
                  <m:e>
                    <m:box>
                      <m:e>
                        <m:f>
                          <m:num>
                            <m:box>
                              <m:e>
                                <m:r>
                                  <m:rPr>
                                    <m:sty m:val="p"/>
                                  </m:rPr>
                                  <m:t>1</m:t>
                                </m:r>
                                <m:r>
                                  <m:rPr>
                                    <m:nor/>
                                  </m:rPr>
                                  <m:t> </m:t>
                                </m:r>
                                <m:box>
                                  <m:e>
                                    <m:r>
                                      <m:rPr>
                                        <m:sty m:val="p"/>
                                      </m:rPr>
                                      <m:t>k</m:t>
                                    </m:r>
                                    <m:r>
                                      <m:rPr>
                                        <m:sty m:val="p"/>
                                      </m:rPr>
                                      <m:t>g</m:t>
                                    </m:r>
                                  </m:e>
                                </m:box>
                              </m:e>
                            </m:box>
                          </m:num>
                          <m:den>
                            <m:box>
                              <m:e>
                                <m:r>
                                  <m:rPr>
                                    <m:sty m:val="p"/>
                                  </m:rPr>
                                  <m:t>1000</m:t>
                                </m:r>
                                <m:r>
                                  <m:rPr>
                                    <m:nor/>
                                  </m:rPr>
                                  <m:t> </m:t>
                                </m:r>
                                <m:r>
                                  <m:rPr>
                                    <m:sty m:val="i"/>
                                  </m:rPr>
                                  <m:t>g</m:t>
                                </m:r>
                              </m:e>
                            </m:box>
                          </m:den>
                        </m:f>
                      </m:e>
                    </m:box>
                  </m:e>
                </m:d>
              </m:e>
            </m:box>
            <m:r>
              <m:rPr>
                <m:sty m:val="i"/>
              </m:rPr>
              <m:t>;</m:t>
            </m:r>
            <m:r>
              <m:t/>
            </m:r>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f>
              <m:num>
                <m:box>
                  <m:e>
                    <m:r>
                      <m:rPr>
                        <m:sty m:val="p"/>
                      </m:rPr>
                      <m:t>14</m:t>
                    </m:r>
                  </m:e>
                </m:box>
              </m:num>
              <m:den>
                <m:box>
                  <m:e>
                    <m:r>
                      <m:rPr>
                        <m:sty m:val="p"/>
                      </m:rPr>
                      <m:t>17</m:t>
                    </m:r>
                  </m:e>
                </m:box>
              </m:den>
            </m:f>
          </m:e>
        </m:box>
      </m:oMath>
      <w:r>
        <w:rPr>
          <w:rFonts w:ascii="Times New Roman" w:hAnsi="Times New Roman"/>
          <w:sz w:val="24"/>
        </w:rPr>
        <w:tab/>
        <w:t>(11)</w:t>
      </w:r>
    </w:p>
    <w:p>
      <w:pPr>
        <w:spacing w:line="240" w:lineRule="auto" w:before="0" w:after="0"/>
        <w:ind w:left="100" w:firstLine="719"/>
        <w:jc w:val="both"/>
      </w:pPr>
      <w:r>
        <w:rPr>
          <w:rFonts w:ascii="Times New Roman" w:hAnsi="Times New Roman"/>
          <w:sz w:val="24"/>
        </w:rPr>
        <w:t>El N₂O-N directo de las etapas de manejo se estimó con EF₃ sobre el N total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(12)</w:t>
      </w:r>
    </w:p>
    <w:p>
      <w:pPr>
        <w:spacing w:line="240" w:lineRule="auto" w:before="0" w:after="0"/>
        <w:ind w:left="100" w:firstLine="719"/>
        <w:jc w:val="both"/>
      </w:pPr>
      <w:r>
        <w:rPr>
          <w:rFonts w:ascii="Times New Roman" w:hAnsi="Times New Roman"/>
          <w:sz w:val="24"/>
        </w:rPr>
        <w:t>La masa de N₂O-N directo se convirtió a masa molecular de N₂O mediante la razón 44/28.</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(13)</w:t>
      </w:r>
    </w:p>
    <w:p>
      <w:pPr>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(14)</w:t>
      </w:r>
    </w:p>
    <w:p>
      <w:pPr>
        <w:spacing w:line="240" w:lineRule="auto" w:before="0" w:after="0"/>
        <w:ind w:left="100" w:firstLine="719"/>
        <w:jc w:val="both"/>
      </w:pPr>
      <w:r>
        <w:rPr>
          <w:rFonts w:ascii="Times New Roman" w:hAnsi="Times New Roman"/>
          <w:sz w:val="24"/>
        </w:rPr>
        <w:t>Las especies explícitas NH₃-N y NOx-N se sumaron para definir el precursor volatilizado que alimenta EF₄; FracGasMS permaneció solo como referencia de contraste.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(15)</w:t>
      </w:r>
    </w:p>
    <w:p>
      <w:pPr>
        <w:spacing w:line="240" w:lineRule="auto" w:before="0" w:after="0"/>
        <w:ind w:left="100" w:firstLine="719"/>
        <w:jc w:val="both"/>
      </w:pPr>
      <w:r>
        <w:rPr>
          <w:rFonts w:ascii="Times New Roman" w:hAnsi="Times New Roman"/>
          <w:sz w:val="24"/>
        </w:rPr>
        <w:t>El N₂O indirecto por volatilización se obtuvo aplicando EF₄ al N precursor y convirtiendo N₂O-N a N₂O.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(16)</w:t>
      </w:r>
    </w:p>
    <w:p>
      <w:pPr>
        <w:pStyle w:val="Heading3"/>
      </w:pPr>
      <w:r>
        <w:rPr>
          <w:rFonts w:ascii="Times New Roman" w:hAnsi="Times New Roman"/>
          <w:color w:val="000000"/>
        </w:rPr>
        <w:t>4.6.3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(17)</w:t>
      </w:r>
    </w:p>
    <w:p>
      <w:pPr>
        <w:spacing w:line="240" w:lineRule="auto" w:before="0" w:after="0"/>
        <w:ind w:left="100" w:firstLine="719"/>
        <w:jc w:val="both"/>
      </w:pPr>
      <w:r>
        <w:rPr>
          <w:rFonts w:ascii="Times New Roman" w:hAnsi="Times New Roman"/>
          <w:sz w:val="24"/>
        </w:rPr>
        <w:t>En las aplicaciones al suelo, NH₃-N se estimó sobre el TAN propagado, mientras NOx-N se obtuvo sobre el N aplicado y se convirtió desde NO₂ mediante 14/46.</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(18)</w:t>
      </w:r>
    </w:p>
    <w:p>
      <w:pPr>
        <w:spacing w:line="240" w:lineRule="auto" w:before="0" w:after="0"/>
        <w:ind w:left="100" w:firstLine="719"/>
        <w:jc w:val="both"/>
      </w:pPr>
      <w:r>
        <w:rPr>
          <w:rFonts w:ascii="Times New Roman" w:hAnsi="Times New Roman"/>
          <w:sz w:val="24"/>
        </w:rPr>
        <w:t>El N₂O directo del suelo se estimó con EF₁ sobre el N propagado y aplicado, no sobre la masa equivalente de la mezcla.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(19)</w:t>
      </w:r>
    </w:p>
    <w:p>
      <w:pPr>
        <w:spacing w:line="240" w:lineRule="auto" w:before="0" w:after="0"/>
        <w:ind w:left="100" w:firstLine="719"/>
        <w:jc w:val="both"/>
      </w:pPr>
      <w:r>
        <w:rPr>
          <w:rFonts w:ascii="Times New Roman" w:hAnsi="Times New Roman"/>
          <w:sz w:val="24"/>
        </w:rPr>
        <w:t>El N lixiviado o escurrido se estimó únicamente en las rutas hídricas justificadas a partir del N que ingresa al suelo.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(20)</w:t>
      </w:r>
    </w:p>
    <w:p>
      <w:pPr>
        <w:spacing w:line="240" w:lineRule="auto" w:before="0" w:after="0"/>
        <w:ind w:left="100" w:firstLine="719"/>
        <w:jc w:val="both"/>
      </w:pPr>
      <w:r>
        <w:rPr>
          <w:rFonts w:ascii="Times New Roman" w:hAnsi="Times New Roman"/>
          <w:sz w:val="24"/>
        </w:rPr>
        <w:t>La masa de N lixiviado o escurrido se expresó como NO₃⁻ mediante la razón estequiométrica 62/14.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(21)</w:t>
      </w:r>
    </w:p>
    <w:p>
      <w:pPr>
        <w:spacing w:line="240" w:lineRule="auto" w:before="0" w:after="0"/>
        <w:ind w:left="100" w:firstLine="719"/>
        <w:jc w:val="both"/>
      </w:pPr>
      <w:r>
        <w:rPr>
          <w:rFonts w:ascii="Times New Roman" w:hAnsi="Times New Roman"/>
          <w:sz w:val="24"/>
        </w:rPr>
        <w:t>El N₂O indirecto de la ruta hídrica se calculó con EF₅ y la conversión de N₂O-N a N₂O.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(22)</w:t>
      </w:r>
    </w:p>
    <w:p>
      <w:pPr>
        <w:pStyle w:val="Heading2"/>
      </w:pPr>
      <w:r>
        <w:rPr>
          <w:rFonts w:ascii="Times New Roman" w:hAnsi="Times New Roman"/>
          <w:color w:val="000000"/>
        </w:rPr>
        <w:t>4.7 Recursos operativos y evaluación de impactos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corresponden a las decisiones metodológicas vigentes. Esta integración documental no recalculó ni modificó el ACV.</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spacing w:line="240" w:lineRule="auto" w:before="0" w:after="0"/>
        <w:ind w:left="100" w:firstLine="719"/>
        <w:jc w:val="both"/>
      </w:pPr>
      <w:r>
        <w:rPr>
          <w:rFonts w:ascii="Times New Roman" w:hAnsi="Times New Roman"/>
          <w:sz w:val="24"/>
        </w:rPr>
        <w:t>El consumo anual de electricidad E, en kWh/año, combina potencia mecánica, eficiencia, frecuencia y duración del lavado. Su contribución climática se obtiene con el factor agregado de consumo del IMN y no vuelve a caracterizarse como flujo elemental de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E</m:t>
            </m:r>
            <m:r>
              <m:rPr>
                <m:sty m:val="p"/>
              </m:rPr>
              <m:t>=</m:t>
            </m:r>
            <m:box>
              <m:e>
                <m:d>
                  <m:dPr>
                    <m:begChr m:val="("/>
                    <m:endChr m:val=")"/>
                  </m:dPr>
                  <m:e>
                    <m:box>
                      <m:e>
                        <m:f>
                          <m:num>
                            <m:box>
                              <m:e>
                                <m:sSub>
                                  <m:e>
                                    <m:r>
                                      <m:rPr>
                                        <m:sty m:val="i"/>
                                      </m:rPr>
                                      <m:t>P</m:t>
                                    </m:r>
                                  </m:e>
                                  <m:sub>
                                    <m:box>
                                      <m:e>
                                        <m:box>
                                          <m:e>
                                            <m:r>
                                              <m:rPr>
                                                <m:sty m:val="p"/>
                                              </m:rPr>
                                              <m:t>m</m:t>
                                            </m:r>
                                            <m:r>
                                              <m:rPr>
                                                <m:sty m:val="p"/>
                                              </m:rPr>
                                              <m:t>e</m:t>
                                            </m:r>
                                            <m:r>
                                              <m:rPr>
                                                <m:sty m:val="p"/>
                                              </m:rPr>
                                              <m:t>c</m:t>
                                            </m:r>
                                          </m:e>
                                        </m:box>
                                      </m:e>
                                    </m:box>
                                  </m:sub>
                                </m:sSub>
                              </m:e>
                            </m:box>
                          </m:num>
                          <m:den>
                            <m:box>
                              <m:e>
                                <m:r>
                                  <m:rPr>
                                    <m:sty m:val="i"/>
                                  </m:rPr>
                                  <m:t>η</m:t>
                                </m:r>
                              </m:e>
                            </m:box>
                          </m:den>
                        </m:f>
                      </m:e>
                    </m:box>
                  </m:e>
                </m:d>
              </m:e>
            </m:box>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box>
              <m:e>
                <m:d>
                  <m:dPr>
                    <m:begChr m:val="("/>
                    <m:endChr m:val=")"/>
                  </m:dPr>
                  <m:e>
                    <m:box>
                      <m:e>
                        <m:f>
                          <m:num>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num>
                          <m:den>
                            <m:box>
                              <m:e>
                                <m:r>
                                  <m:rPr>
                                    <m:sty m:val="p"/>
                                  </m:rPr>
                                  <m:t>60</m:t>
                                </m:r>
                              </m:e>
                            </m:box>
                          </m:den>
                        </m:f>
                      </m:e>
                    </m:box>
                  </m:e>
                </m:d>
              </m:e>
            </m:box>
            <m:r>
              <m:rPr>
                <m:sty m:val="i"/>
              </m:rPr>
              <m:t>;</m:t>
            </m:r>
            <m:r>
              <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E</m:t>
            </m:r>
            <m:r>
              <m:t/>
            </m:r>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ab/>
        <w:t>(23)</w:t>
      </w:r>
    </w:p>
    <w:p>
      <w:pPr>
        <w:spacing w:line="240" w:lineRule="auto" w:before="0" w:after="0"/>
        <w:ind w:left="100" w:firstLine="719"/>
        <w:jc w:val="both"/>
      </w:pPr>
      <w:r>
        <w:rPr>
          <w:rFonts w:ascii="Times New Roman" w:hAnsi="Times New Roman"/>
          <w:sz w:val="24"/>
        </w:rPr>
        <w:t>El volumen anual de diésel V diésel, en L/año, se obtiene de la frecuencia, duración y consumo horario. Los factores IMN producen masas físicas de CO₂ fósil, CH₄ fósil y N₂O; k i hace explícita la conversión de g a kg cuando corresponde, y esas masas se caracterizan después con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p"/>
              </m:rPr>
              <m:t>=</m:t>
            </m:r>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box>
              <m:e>
                <m:d>
                  <m:dPr>
                    <m:begChr m:val="("/>
                    <m:endChr m:val=")"/>
                  </m:dPr>
                  <m:e>
                    <m:box>
                      <m:e>
                        <m:f>
                          <m:num>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num>
                          <m:den>
                            <m:box>
                              <m:e>
                                <m:r>
                                  <m:rPr>
                                    <m:sty m:val="p"/>
                                  </m:rPr>
                                  <m:t>60</m:t>
                                </m:r>
                              </m:e>
                            </m:box>
                          </m:den>
                        </m:f>
                      </m:e>
                    </m:box>
                  </m:e>
                </m:d>
              </m:e>
            </m:box>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m:t>
            </m:r>
            <m:r>
              <m:t/>
            </m:r>
            <m:sSub>
              <m:e>
                <m:r>
                  <m:rPr>
                    <m:sty m:val="i"/>
                  </m:rPr>
                  <m:t>m</m:t>
                </m:r>
              </m:e>
              <m:sub>
                <m:r>
                  <m:rPr>
                    <m:sty m:val="i"/>
                  </m:rPr>
                  <m:t>i</m:t>
                </m:r>
              </m:sub>
            </m:sSub>
            <m:r>
              <m:rPr>
                <m:sty m:val="p"/>
              </m:rPr>
              <m:t>=</m:t>
            </m:r>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sSub>
              <m:e>
                <m:r>
                  <m:rPr>
                    <m:sty m:val="i"/>
                  </m:rPr>
                  <m:t>k</m:t>
                </m:r>
              </m:e>
              <m:sub>
                <m:r>
                  <m:rPr>
                    <m:sty m:val="i"/>
                  </m:rPr>
                  <m:t>i</m:t>
                </m:r>
              </m:sub>
            </m:sSub>
            <m:r>
              <m:rPr>
                <m:sty m:val="p"/>
              </m:rPr>
              <m:t>,</m:t>
            </m:r>
            <m:r>
              <m:t/>
            </m:r>
            <m:sSub>
              <m:e>
                <m:r>
                  <m:rPr>
                    <m:sty m:val="i"/>
                  </m:rPr>
                  <m:t>k</m:t>
                </m:r>
              </m:e>
              <m:sub>
                <m:r>
                  <m:rPr>
                    <m:sty m:val="i"/>
                  </m:rPr>
                  <m:t>i</m:t>
                </m:r>
              </m:sub>
            </m:sSub>
            <m:r>
              <m:rPr>
                <m:sty m:val="p"/>
              </m:rPr>
              <m:t>=</m:t>
            </m:r>
            <m:r>
              <m:rPr>
                <m:sty m:val="p"/>
              </m:rPr>
              <m:t>1</m:t>
            </m:r>
            <m:r>
              <m:rPr>
                <m:nor/>
              </m:rPr>
              <m:t> </m:t>
            </m:r>
            <m:box>
              <m:e>
                <m:r>
                  <m:rPr>
                    <m:sty m:val="p"/>
                  </m:rPr>
                  <m:t>p</m:t>
                </m:r>
                <m:r>
                  <m:rPr>
                    <m:sty m:val="p"/>
                  </m:rPr>
                  <m:t>a</m:t>
                </m:r>
                <m:r>
                  <m:rPr>
                    <m:sty m:val="p"/>
                  </m:rPr>
                  <m:t>r</m:t>
                </m:r>
                <m:r>
                  <m:rPr>
                    <m:sty m:val="p"/>
                  </m:rPr>
                  <m:t>a</m:t>
                </m:r>
                <m:r>
                  <m:rPr>
                    <m:nor/>
                  </m:rPr>
                  <m:t> </m:t>
                </m:r>
                <m:r>
                  <m:rPr>
                    <m:sty m:val="p"/>
                  </m:rPr>
                  <m:t>k</m:t>
                </m:r>
                <m:r>
                  <m:rPr>
                    <m:sty m:val="p"/>
                  </m:rPr>
                  <m:t>g</m:t>
                </m:r>
                <m:r>
                  <m:rPr>
                    <m:sty m:val="p"/>
                  </m:rPr>
                  <m:t>/</m:t>
                </m:r>
                <m:r>
                  <m:rPr>
                    <m:sty m:val="p"/>
                  </m:rPr>
                  <m:t>L</m:t>
                </m:r>
              </m:e>
            </m:box>
            <m:r>
              <m:rPr>
                <m:sty m:val="p"/>
              </m:rPr>
              <m:t>,</m:t>
            </m:r>
            <m:r>
              <m:rPr>
                <m:nor/>
              </m:rPr>
              <m:t> </m:t>
            </m:r>
            <m:sSub>
              <m:e>
                <m:r>
                  <m:rPr>
                    <m:sty m:val="i"/>
                  </m:rPr>
                  <m:t>k</m:t>
                </m:r>
              </m:e>
              <m:sub>
                <m:r>
                  <m:rPr>
                    <m:sty m:val="i"/>
                  </m:rPr>
                  <m:t>i</m:t>
                </m:r>
              </m:sub>
            </m:sSub>
            <m:r>
              <m:rPr>
                <m:sty m:val="p"/>
              </m:rPr>
              <m:t>=</m:t>
            </m:r>
            <m:sSup>
              <m:e>
                <m:r>
                  <m:rPr>
                    <m:sty m:val="p"/>
                  </m:rPr>
                  <m:t>10</m:t>
                </m:r>
              </m:e>
              <m:sup>
                <m:box>
                  <m:e>
                    <m:r>
                      <m:rPr>
                        <m:sty m:val="p"/>
                      </m:rPr>
                      <m:t>−</m:t>
                    </m:r>
                    <m:r>
                      <m:rPr>
                        <m:sty m:val="p"/>
                      </m:rPr>
                      <m:t>3</m:t>
                    </m:r>
                  </m:e>
                </m:box>
              </m:sup>
            </m:sSup>
            <m:r>
              <m:rPr>
                <m:nor/>
              </m:rPr>
              <m:t> </m:t>
            </m:r>
            <m:box>
              <m:e>
                <m:r>
                  <m:rPr>
                    <m:sty m:val="p"/>
                  </m:rPr>
                  <m:t>p</m:t>
                </m:r>
                <m:r>
                  <m:rPr>
                    <m:sty m:val="p"/>
                  </m:rPr>
                  <m:t>a</m:t>
                </m:r>
                <m:r>
                  <m:rPr>
                    <m:sty m:val="p"/>
                  </m:rPr>
                  <m:t>r</m:t>
                </m:r>
                <m:r>
                  <m:rPr>
                    <m:sty m:val="p"/>
                  </m:rPr>
                  <m:t>a</m:t>
                </m:r>
                <m:r>
                  <m:rPr>
                    <m:nor/>
                  </m:rPr>
                  <m:t> </m:t>
                </m:r>
                <m:r>
                  <m:rPr>
                    <m:sty m:val="p"/>
                  </m:rPr>
                  <m:t>g</m:t>
                </m:r>
                <m:r>
                  <m:rPr>
                    <m:sty m:val="p"/>
                  </m:rPr>
                  <m:t>/</m:t>
                </m:r>
                <m:r>
                  <m:rPr>
                    <m:sty m:val="p"/>
                  </m:rPr>
                  <m:t>L</m:t>
                </m:r>
              </m:e>
            </m:box>
          </m:e>
        </m:box>
      </m:oMath>
      <w:r>
        <w:rPr>
          <w:rFonts w:ascii="Times New Roman" w:hAnsi="Times New Roman"/>
          <w:sz w:val="24"/>
        </w:rPr>
        <w:tab/>
        <w:t>(24)</w:t>
      </w:r>
    </w:p>
    <w:p>
      <w:pPr>
        <w:spacing w:line="240" w:lineRule="auto" w:before="0" w:after="0"/>
        <w:ind w:left="100" w:firstLine="719"/>
        <w:jc w:val="both"/>
      </w:pPr>
      <w:r>
        <w:rPr>
          <w:rFonts w:ascii="Times New Roman" w:hAnsi="Times New Roman"/>
          <w:sz w:val="24"/>
        </w:rPr>
        <w:t>I c es el indicador de la categoría c, m i es la masa del flujo elemental i y CF i,c es su factor de caracterización en esa categoría.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(25)</w:t>
      </w:r>
    </w:p>
    <w:p>
      <w:pPr>
        <w:spacing w:line="240" w:lineRule="auto" w:before="0" w:after="0"/>
        <w:ind w:left="100" w:firstLine="719"/>
        <w:jc w:val="both"/>
      </w:pPr>
      <w:r>
        <w:rPr>
          <w:rFonts w:ascii="Times New Roman" w:hAnsi="Times New Roman"/>
          <w:sz w:val="24"/>
        </w:rPr>
        <w:t>El cambio climático total suma una sola vez las contribuciones del manejo, la electricidad agregada y las emisiones físicas del diésel caracterizadas con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(26)</w:t>
      </w:r>
    </w:p>
    <w:p>
      <w:pPr>
        <w:spacing w:line="240" w:lineRule="auto" w:before="0" w:after="0"/>
        <w:ind w:left="100" w:firstLine="719"/>
        <w:jc w:val="both"/>
      </w:pPr>
      <w:r>
        <w:rPr>
          <w:rFonts w:ascii="Times New Roman" w:hAnsi="Times New Roman"/>
          <w:sz w:val="24"/>
        </w:rPr>
        <w:t>La Tabla 5 documenta los factores visibles principales y la Figura 5 muestra la escala operacional de los flujos.</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pPr>
      <w:r>
        <w:rPr>
          <w:rFonts w:ascii="Times New Roman" w:hAnsi="Times New Roman"/>
          <w:b/>
          <w:color w:val="000000"/>
        </w:rPr>
        <w:t>Figura 5</w:t>
      </w:r>
    </w:p>
    <w:p>
      <w:pPr>
        <w:pStyle w:val="Descripciónacadémica"/>
        <w:keepNext/>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486400" cy="2941378"/>
            <wp:docPr id="5" name="Picture 5"/>
            <wp:cNvGraphicFramePr>
              <a:graphicFrameLocks noChangeAspect="1"/>
            </wp:cNvGraphicFramePr>
            <a:graphic>
              <a:graphicData uri="http://schemas.openxmlformats.org/drawingml/2006/picture">
                <pic:pic>
                  <pic:nvPicPr>
                    <pic:cNvPr id="0" name="fig_04_flujos_masa_equivalente_total.png"/>
                    <pic:cNvPicPr/>
                  </pic:nvPicPr>
                  <pic:blipFill>
                    <a:blip r:embed="rId14"/>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4.8 Verificación independiente de la caracterización</w:t>
      </w:r>
    </w:p>
    <w:p>
      <w:pPr>
        <w:spacing w:line="240" w:lineRule="auto" w:before="0" w:after="0"/>
        <w:ind w:left="100" w:firstLine="719"/>
        <w:jc w:val="both"/>
      </w:pPr>
      <w:r>
        <w:rPr>
          <w:rFonts w:ascii="Times New Roman" w:hAnsi="Times New Roman"/>
          <w:sz w:val="24"/>
        </w:rPr>
        <w:t>SimaPro es un programa informático especializado en análisis de ciclo de vida que permite trabajar con inventarios y métodos de evaluación de impacto. En este TFG su función se limita a una verificación independiente de la caracterización EF 3.1 implementada en Python. Python permanece como fuente productiva y reproducible del inventario, la estimación de emisiones, la caracterización, la agregación, la normalización y los resultados canónicos.</w:t>
      </w:r>
    </w:p>
    <w:p>
      <w:pPr>
        <w:spacing w:line="240" w:lineRule="auto" w:before="0" w:after="0"/>
        <w:ind w:left="100" w:firstLine="719"/>
        <w:jc w:val="both"/>
      </w:pPr>
      <w:r>
        <w:rPr>
          <w:rFonts w:ascii="Times New Roman" w:hAnsi="Times New Roman"/>
          <w:sz w:val="24"/>
        </w:rPr>
        <w:t>La verificación se ha preparado mediante casos unitarios y cantidades elementales de la corrida PROVISIONAL M1–M2, pero su ejecución presencial en SimaPro permanece pendiente. No se reconstruirá el ACV completo ni los escenarios y etapas como procesos en ese programa; tampoco se incluirá la contribución eléctrica agregada del IMN como si fuera un flujo elemental. No se presentan resultados, concordancias ni discrepancias Python–SimaPro porque aún no existe evidencia de ejecución. La versión de SimaPro y la configuración exacta del método deberán registrarse cuando se realice la comprobación.</w:t>
      </w:r>
    </w:p>
    <w:p>
      <w:pPr>
        <w:pStyle w:val="Heading2"/>
      </w:pPr>
      <w:r>
        <w:rPr>
          <w:rFonts w:ascii="Times New Roman" w:hAnsi="Times New Roman"/>
          <w:color w:val="000000"/>
        </w:rPr>
        <w:t>4.9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y la incertidumbre documentada para los factores de conversión de metano de la guía IPCC (VanderZaag, 2018), la transferibilidad de Komakech, la representatividad de las categorías IPCC y del factor EMEP de N₂ en A2, la masa húmeda inferida de A2 y la ausencia de un balance cerrado de agua y sólidos. Son incertidumbres científicas de la arquitectura aprobada, no decisiones metodológicas abiertas ni impedimentos para el modelo pre-M3.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corrida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Tabla 6 presenta la masa húmeda o equivalente gestionada en cada etapa. En A4 y B2, la masa equivalente integra el agua de lavado con la fracción de estiércol correspondiente; no constituye la base para inicializar N total.</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Masas anuales gestionadas por etapa.</w:t>
      </w:r>
    </w:p>
    <w:tbl>
      <w:tblPr>
        <w:tblW w:type="auto" w:w="0"/>
        <w:jc w:val="center"/>
        <w:tblLook w:firstColumn="1" w:firstRow="1" w:lastColumn="0" w:lastRow="0" w:noHBand="0" w:noVBand="1" w:val="04A0"/>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gestionada (kg eq/año)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Significado físico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masa húmeda anual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7 429,968647</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Precompostado de entrada; masa húmeda inferida mediante la transformación A1→A2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fracción de boñiga; no es masa de estiércol medida ni base de N</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teóricamente depositado;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boñiga; no es masa de estiércol medida ni base de N</w:t>
            </w:r>
          </w:p>
        </w:tc>
      </w:tr>
    </w:tbl>
    <w:p>
      <w:pPr>
        <w:spacing w:line="240" w:lineRule="auto" w:before="0" w:after="0"/>
        <w:ind w:left="100" w:firstLine="719"/>
        <w:jc w:val="both"/>
      </w:pPr>
      <w:r>
        <w:rPr>
          <w:rFonts w:ascii="Times New Roman" w:hAnsi="Times New Roman"/>
          <w:sz w:val="24"/>
        </w:rPr>
        <w:t>La Figura 6 presenta la caracterización gravimétrica provisional.</w:t>
      </w:r>
    </w:p>
    <w:p>
      <w:pPr>
        <w:pStyle w:val="Rótuloacadémico"/>
        <w:keepNext/>
      </w:pPr>
      <w:r>
        <w:rPr>
          <w:rFonts w:ascii="Times New Roman" w:hAnsi="Times New Roman"/>
          <w:b/>
          <w:color w:val="000000"/>
        </w:rPr>
        <w:t>Figura 6</w:t>
      </w:r>
    </w:p>
    <w:p>
      <w:pPr>
        <w:pStyle w:val="Descripciónacadémica"/>
        <w:keepNext/>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486400" cy="3834381"/>
            <wp:docPr id="6" name="Picture 6"/>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5"/>
                    <a:stretch>
                      <a:fillRect/>
                    </a:stretch>
                  </pic:blipFill>
                  <pic:spPr>
                    <a:xfrm>
                      <a:off x="0" y="0"/>
                      <a:ext cx="5486400" cy="3834381"/>
                    </a:xfrm>
                    <a:prstGeom prst="rect"/>
                  </pic:spPr>
                </pic:pic>
              </a:graphicData>
            </a:graphic>
          </wp:inline>
        </w:drawing>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7 resume las emisiones del manejo y la Figura 7 muestra la distribución de CH₄. Las contribuciones operativas de electricidad y diésel se incorporaron en el indicador de cambio climático, manteniendo separada su trazabilidad. El Apéndice E presenta las rutas de N₂O directo e indirecto, NH₃, NOx y NO₃⁻ por etapa sin duplicar el inventario completo.</w:t>
      </w:r>
    </w:p>
    <w:p>
      <w:pPr>
        <w:spacing w:line="240" w:lineRule="auto" w:before="0" w:after="0"/>
        <w:ind w:left="100" w:firstLine="719"/>
        <w:jc w:val="both"/>
      </w:pPr>
      <w:r>
        <w:rPr>
          <w:rFonts w:ascii="Times New Roman" w:hAnsi="Times New Roman"/>
          <w:sz w:val="24"/>
        </w:rPr>
        <w:t>La combustión de 182,5 L/año de diésel produjo 476,8725 kg/año de CO₂ fósil, 0,069715 kg/año de CH₄ fósil y 0,004457 kg/año de N₂O en cada escenario. Estas masas se caracterizaron después con EF 3.1 y permanecen separadas de las emisiones del manejo resumidas en la Tabla 7.</w:t>
      </w:r>
    </w:p>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pPr>
      <w:r>
        <w:rPr>
          <w:rFonts w:ascii="Times New Roman" w:hAnsi="Times New Roman"/>
          <w:b/>
          <w:color w:val="000000"/>
        </w:rPr>
        <w:t>Figura 7</w:t>
      </w:r>
    </w:p>
    <w:p>
      <w:pPr>
        <w:pStyle w:val="Descripciónacadémica"/>
        <w:keepNext/>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486400" cy="3821927"/>
            <wp:docPr id="7" name="Picture 7"/>
            <wp:cNvGraphicFramePr>
              <a:graphicFrameLocks noChangeAspect="1"/>
            </wp:cNvGraphicFramePr>
            <a:graphic>
              <a:graphicData uri="http://schemas.openxmlformats.org/drawingml/2006/picture">
                <pic:pic>
                  <pic:nvPicPr>
                    <pic:cNvPr id="0" name="fig_06_emisiones_ch4.png"/>
                    <pic:cNvPicPr/>
                  </pic:nvPicPr>
                  <pic:blipFill>
                    <a:blip r:embed="rId16"/>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8 presenta los impactos por etapa. En el Escenario A, A3: Almacenamiento de aguas verdes aportó 53,93 % del cambio climático; en el Escenario B, B1: Almacenamiento de purines aportó 81,99 %. Las Figuras 8 y 9 muestran la distribución por etapa de cambio climático y eutrofización terrestre.</w:t>
      </w:r>
    </w:p>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pPr>
      <w:r>
        <w:rPr>
          <w:rFonts w:ascii="Times New Roman" w:hAnsi="Times New Roman"/>
          <w:b/>
          <w:color w:val="000000"/>
        </w:rPr>
        <w:t>Figura 8</w:t>
      </w:r>
    </w:p>
    <w:p>
      <w:pPr>
        <w:pStyle w:val="Descripciónacadémica"/>
        <w:keepNext/>
      </w:pPr>
      <w:r>
        <w:rPr>
          <w:rFonts w:ascii="Times New Roman" w:hAnsi="Times New Roman"/>
          <w:i/>
          <w:color w:val="000000"/>
        </w:rPr>
        <w:t>Cambio climático total por etapa y escenario.</w:t>
      </w:r>
    </w:p>
    <w:p>
      <w:pPr>
        <w:ind w:left="0" w:firstLine="0"/>
        <w:jc w:val="center"/>
      </w:pPr>
      <w:r>
        <w:drawing>
          <wp:inline xmlns:a="http://schemas.openxmlformats.org/drawingml/2006/main" xmlns:pic="http://schemas.openxmlformats.org/drawingml/2006/picture">
            <wp:extent cx="5486400" cy="3067619"/>
            <wp:docPr id="8" name="Picture 8"/>
            <wp:cNvGraphicFramePr>
              <a:graphicFrameLocks noChangeAspect="1"/>
            </wp:cNvGraphicFramePr>
            <a:graphic>
              <a:graphicData uri="http://schemas.openxmlformats.org/drawingml/2006/picture">
                <pic:pic>
                  <pic:nvPicPr>
                    <pic:cNvPr id="0" name="fig_11_impactos_cambio_climatico_etapa.png"/>
                    <pic:cNvPicPr/>
                  </pic:nvPicPr>
                  <pic:blipFill>
                    <a:blip r:embed="rId17"/>
                    <a:stretch>
                      <a:fillRect/>
                    </a:stretch>
                  </pic:blipFill>
                  <pic:spPr>
                    <a:xfrm>
                      <a:off x="0" y="0"/>
                      <a:ext cx="5486400" cy="3067619"/>
                    </a:xfrm>
                    <a:prstGeom prst="rect"/>
                  </pic:spPr>
                </pic:pic>
              </a:graphicData>
            </a:graphic>
          </wp:inline>
        </w:drawing>
      </w:r>
    </w:p>
    <w:p>
      <w:pPr>
        <w:pStyle w:val="Rótuloacadémico"/>
        <w:keepNext/>
      </w:pPr>
      <w:r>
        <w:rPr>
          <w:rFonts w:ascii="Times New Roman" w:hAnsi="Times New Roman"/>
          <w:b/>
          <w:color w:val="000000"/>
        </w:rPr>
        <w:t>Figura 9</w:t>
      </w:r>
    </w:p>
    <w:p>
      <w:pPr>
        <w:pStyle w:val="Descripciónacadémica"/>
        <w:keepNext/>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486400" cy="3069746"/>
            <wp:docPr id="9" name="Picture 9"/>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8"/>
                    <a:stretch>
                      <a:fillRect/>
                    </a:stretch>
                  </pic:blipFill>
                  <pic:spPr>
                    <a:xfrm>
                      <a:off x="0" y="0"/>
                      <a:ext cx="5486400" cy="3069746"/>
                    </a:xfrm>
                    <a:prstGeom prst="rect"/>
                  </pic:spPr>
                </pic:pic>
              </a:graphicData>
            </a:graphic>
          </wp:inline>
        </w:drawing>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9 presenta la magnitud anual y la Tabla 10 separa el cambio climático del manejo, la electricidad y el diésel. La Tabla 11 muestra los indicadores por unidad funcional. La Tabla 12 y la Figura 10 presentan la comparación entre escenarios bajo la misma base funcional.</w:t>
      </w:r>
    </w:p>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Contribuciones al cambio climático del manejo y los recursos operativos.</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Manejo del estiércol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Electricidad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Diésel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total (kg CO₂-eq/año)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5 771,931464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r>
    </w:tbl>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12</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pPr>
      <w:r>
        <w:rPr>
          <w:rFonts w:ascii="Times New Roman" w:hAnsi="Times New Roman"/>
          <w:b/>
          <w:color w:val="000000"/>
        </w:rPr>
        <w:t>Figura 10</w:t>
      </w:r>
    </w:p>
    <w:p>
      <w:pPr>
        <w:pStyle w:val="Descripciónacadémica"/>
        <w:keepNext/>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486400" cy="3960495"/>
            <wp:docPr id="10" name="Picture 10"/>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9"/>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13 contrasta las estimaciones oficiales de A2: Lombricompostaje con Jjagwe et al. (2019) sobre una base material armonizada. El contraste apoya la interpretación, pero no sustituye el inventario oficial ni constituye una validación formal del modelo.</w:t>
      </w:r>
    </w:p>
    <w:p>
      <w:pPr>
        <w:spacing w:line="240" w:lineRule="auto" w:before="0" w:after="0"/>
        <w:ind w:left="100" w:firstLine="719"/>
        <w:jc w:val="both"/>
      </w:pPr>
      <w:r>
        <w:rPr>
          <w:rFonts w:ascii="Times New Roman" w:hAnsi="Times New Roman"/>
          <w:sz w:val="24"/>
        </w:rPr>
        <w:t>La fuente presenta una inconsistencia interna para N₂O: el resumen imprime 3,943 × 10⁻⁵ g/kg de materia seca, equivalentes matemáticamente a 0,03943 mg/kg, mientras la sección de resultados informa aproximadamente 40 mg/kg. La escala de la Figura 3 y el potencial de calentamiento global publicado de 324 kg CO₂-eq/t de residuo, calculado por los autores con factores de 1, 28 y 265 para CO₂, CH₄ y N₂O, respectivamente, son coherentes con el orden de decenas de miligramos. Conforme a la decisión metodológica vigente, el contraste conserva 39,43 mg/kg; esta selección documenta una inconsistencia editorial interna de la fuente y no modifica el inventario productivo de A2.</w:t>
      </w:r>
    </w:p>
    <w:p>
      <w:pPr>
        <w:pStyle w:val="Rótuloacadémico"/>
        <w:keepNext/>
      </w:pPr>
      <w:r>
        <w:rPr>
          <w:rFonts w:ascii="Times New Roman" w:hAnsi="Times New Roman"/>
          <w:b/>
          <w:color w:val="000000"/>
        </w:rPr>
        <w:t>Tabla 13</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predominio climático de A3 y B1 coincide con la concentración de CH₄ en el almacenamiento líquido; el predominio de eutrofización marina de A4 y B2 coincide con las pérdidas de NO₃⁻ de la aplicación al suelo. Para eutrofización terrestre, las emisiones atmosféricas de NH₃ y NOx permiten interpretar la importancia relativa de A1 y B2 sin atribuir causalidad fuera de las relaciones de caracterización aplicadas.</w:t>
      </w:r>
    </w:p>
    <w:p>
      <w:pPr>
        <w:spacing w:line="240" w:lineRule="auto" w:before="0" w:after="0"/>
        <w:ind w:left="100" w:firstLine="719"/>
        <w:jc w:val="both"/>
      </w:pPr>
      <w:r>
        <w:rPr>
          <w:rFonts w:ascii="Times New Roman" w:hAnsi="Times New Roman"/>
          <w:sz w:val="24"/>
        </w:rPr>
        <w:t>Los dos escenarios incorporaron el mismo consumo anual de 53,23 kWh de electricidad y 182,5 L de diésel. Por ello, sus contribuciones operativas al cambio climático fueron iguales: 2,20901 kg CO₂-eq/año por electricidad y 480,166672 kg CO₂-eq/año por diésel. Estas cargas comunes no explican la diferencia entre escenarios, que se mantiene asociada con las emisiones del manejo dentro de la frontera estudiada.</w:t>
      </w:r>
    </w:p>
    <w:p>
      <w:pPr>
        <w:spacing w:line="240" w:lineRule="auto" w:before="0" w:after="0"/>
        <w:ind w:left="100" w:firstLine="719"/>
        <w:jc w:val="both"/>
      </w:pPr>
      <w:r>
        <w:rPr>
          <w:rFonts w:ascii="Times New Roman" w:hAnsi="Times New Roman"/>
          <w:sz w:val="24"/>
        </w:rPr>
        <w:t>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14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validar el modelo pre-M3. La consistencia continuará verificándose mediante cierre de balances, igualdad del flujo funcional e integridad temporal de la corrida.</w:t>
      </w:r>
    </w:p>
    <w:p>
      <w:pPr>
        <w:pStyle w:val="Rótuloacadémico"/>
        <w:keepNext/>
      </w:pPr>
      <w:r>
        <w:rPr>
          <w:rFonts w:ascii="Times New Roman" w:hAnsi="Times New Roman"/>
          <w:b/>
          <w:color w:val="000000"/>
        </w:rPr>
        <w:t>Tabla 14</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corrida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aproximadamente 26 278,7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reúne únicamente las fuentes citadas en el documento y se consolida desde el registro integral versionado. La normalización editorial y la verificación de las entradas marcadas como pendientes deberán completarse antes de la versión final.</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Andreasi Bassi, S., Biganzoli, F., Ferrara, N., Amadei, A., Valente, A., Sala, S., &amp; Ardente, F. (2023). Updated characterisation and normalisation factors for the Environmental Footprint 3.1 method (EUR 31414 EN; JRC130796). Publications Office of the European Union. https://doi.org/10.2760/798894</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(ILRI Manual 36).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spacing w:line="240" w:lineRule="auto" w:before="0" w:after="0"/>
        <w:ind w:left="100" w:firstLine="719"/>
        <w:jc w:val="both"/>
      </w:pPr>
      <w:r>
        <w:rPr>
          <w:rFonts w:ascii="Times New Roman" w:hAnsi="Times New Roman"/>
          <w:sz w:val="24"/>
        </w:rPr>
        <w:t>La Tabla 15 muestra cómo la metodología, los resultados y las conclusiones provisionales responden a los objetivos invariantes del estudio.</w:t>
      </w:r>
    </w:p>
    <w:p>
      <w:pPr>
        <w:pStyle w:val="Rótuloacadémico"/>
        <w:keepNext/>
      </w:pPr>
      <w:r>
        <w:rPr>
          <w:rFonts w:ascii="Times New Roman" w:hAnsi="Times New Roman"/>
          <w:b/>
          <w:color w:val="000000"/>
        </w:rPr>
        <w:t>Tabla 15</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B. Matriz detallada de procedencia de los datos del inventario</w:t>
      </w:r>
    </w:p>
    <w:p>
      <w:pPr>
        <w:spacing w:line="240" w:lineRule="auto" w:before="0" w:after="0"/>
        <w:ind w:left="100" w:firstLine="719"/>
        <w:jc w:val="both"/>
      </w:pPr>
      <w:r>
        <w:rPr>
          <w:rFonts w:ascii="Times New Roman" w:hAnsi="Times New Roman"/>
          <w:sz w:val="24"/>
        </w:rPr>
        <w:t>La Tabla 16 conserva la trazabilidad detallada por familia sin convertir los cálculos derivados en una nueva categoría de fuente.</w:t>
      </w:r>
    </w:p>
    <w:p>
      <w:pPr>
        <w:pStyle w:val="Rótuloacadémico"/>
        <w:keepNext/>
      </w:pPr>
      <w:r>
        <w:rPr>
          <w:rFonts w:ascii="Times New Roman" w:hAnsi="Times New Roman"/>
          <w:b/>
          <w:color w:val="000000"/>
        </w:rPr>
        <w:t>Tabla 16</w:t>
      </w:r>
    </w:p>
    <w:p>
      <w:pPr>
        <w:pStyle w:val="Descripciónacadémica"/>
        <w:keepNext/>
      </w:pPr>
      <w:r>
        <w:rPr>
          <w:rFonts w:ascii="Times New Roman" w:hAnsi="Times New Roman"/>
          <w:i/>
          <w:color w:val="000000"/>
        </w:rPr>
        <w:t>Matriz detallada de procedencia y tratamiento de los datos del inventario.</w:t>
      </w:r>
    </w:p>
    <w:tbl>
      <w:tblPr>
        <w:tblW w:type="auto" w:w="0"/>
        <w:jc w:val="center"/>
        <w:tblLook w:firstColumn="1" w:firstRow="1" w:lastColumn="0" w:lastRow="0" w:noHBand="0" w:noVBand="1" w:val="04A0"/>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familia de variables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Etapa(s) donde se usa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 o tipo de información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académica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Subtipo de procedencia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dentro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concreta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Uso metodológico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los materiales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variables integradas en 4 tipos de material; corrida M1–M2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Medición experimental del TFG y servicio analítico externo sobre sus muestras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resumido por muestra y jornada; integrado estadísticamente cuando es compatible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del investigador, Laboratorio de Bioenergía y reportes CIA/LASA de las muestras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parámetros experimentales y referencias de contraste del inventario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Tiempos y frecuencias habituales comunicados para la operación de la finca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parámetros operativos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Comunicación presencial con informante clave basada en consulta al personal operativo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Comunicado como estimación operativa aproximada; anualizado de forma reproducible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Saúl Brenes Gamboa, administrador de la lechería; registro retrospectivo respaldado por la visita de campo del 25 de agosto de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Duración y frecuencia de bombeo, almacenamiento y aplicación</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Características nominales observadas en equipos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característica nominal de equipo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directa de placa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de la bomba Aermotor 20HBP200-01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del consumo eléctrico del bombeo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operativos publicados de la misma lechería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parámetros publicados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publicados previamente para el sitio de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Población, permanencia, estiércol recolectado y agua de lavado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generación de estiércol durante la permanencia en sala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supuesto basado en intervalo publicado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Literatura aplicada como base de un supuesto explícito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Límite inferior del intervalo bibliográfico citado por 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conservadora del estiércol depositado durante la permanencia en sala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Eficiencia de bomba, consumo de diésel y anualización operativa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supuestos explícitos con contexto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numérico definido para 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explícita del estudio; la nota de campo aporta contexto operativo, no el valor numérico supuesto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de consumos de electricidad y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Identidades temporales para prorrateo y anualización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registros estructurados de convenciones temporales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convención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 temporal, no fuente empírica ni bibliográfica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temporal del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Prorrateo diario y expresión anual de los flujos</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de estiércol fresco a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y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integrado de 2 jornadas elegibles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Derivación a partir de mediciones experimentales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por jornada e integrado estadísticamente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determinadas en el Laboratorio de Bioenergía durante M1 y 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masa húmeda entre A1 y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y procedimientos IPCC para manejo y suelos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 parámetros activos o de aseguramiento y control de la calidad con fuente 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internacional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Refinamiento 2019 de las Directrices IPCC de 2006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N₂O y rutas hídricas de nitrógeno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EMEP/EEA de nitrógeno reactivo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 parámetros activos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de inventarios de emisiones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Air Pollutant Emission Inventory Guidebook 2023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y pérdidas explícitas de TAN, NH₃, NO y N₂</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experimental de NH₃ utilizado como aproximación en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factor activo de literatura científica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Artículo científico utilizado como aproximación cuantitativa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literatura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NH₃ en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nacionales para recursos energéticos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factores aprobados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Documento técnico oficial 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emisión o consumo agregado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Instituto Meteorológico Nacional, Factores de emisión de gases de efecto invernadero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asociadas con electricidad y combustión de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caracterización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correspondencias flujo–categoría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Método oficial de evaluación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Masas, volúmenes y consumos del inventario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flujos por etapa construidos reproduciblemente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componentes primarios y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o derivado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y registros primarios, junto con publicaciones y bases bibliográficas secundarias, conservados en sus familias de origen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de actividad del inventario por etapa; la futura matriz metodológica A1–B2 aportará trazabilidad más fina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 A3→A4 y B1→B2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experimentales promovidos en 6 etapas y factores metodológicos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caracterización primaria y factores metodológicos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y propagado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Integración experimental M1–M2 (primaria) y factores IPCC, EMEP/EEA o de literatura (secundarios), conservados por componente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Cierre secuencial de nitrógeno y estimación de emisiones; la futura matriz metodológica A1–B2 aportará trazabilidad más fina</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C. Matriz detallada de trazabilidad metodológica por etapa A1–B2</w:t>
      </w:r>
    </w:p>
    <w:p>
      <w:pPr>
        <w:spacing w:line="240" w:lineRule="auto" w:before="0" w:after="0"/>
        <w:ind w:left="100" w:firstLine="719"/>
        <w:jc w:val="both"/>
      </w:pPr>
      <w:r>
        <w:rPr>
          <w:rFonts w:ascii="Times New Roman" w:hAnsi="Times New Roman"/>
          <w:sz w:val="24"/>
        </w:rPr>
        <w:t>La Tabla 17 permite seguir cada etapa individualmente desde el proceso y el dato de actividad hasta la relación de cálculo, la fuente metodológica y la salida utilizada posteriormente. Las relaciones se recuperan de las fuentes responsables vigentes y no constituyen un modelo paralelo.</w:t>
      </w:r>
    </w:p>
    <w:p>
      <w:pPr>
        <w:pStyle w:val="Rótuloacadémico"/>
        <w:keepNext/>
      </w:pPr>
      <w:r>
        <w:rPr>
          <w:rFonts w:ascii="Times New Roman" w:hAnsi="Times New Roman"/>
          <w:b/>
          <w:color w:val="000000"/>
        </w:rPr>
        <w:t>Tabla 17</w:t>
      </w:r>
    </w:p>
    <w:p>
      <w:pPr>
        <w:pStyle w:val="Descripciónacadémica"/>
        <w:keepNext/>
      </w:pPr>
      <w:r>
        <w:rPr>
          <w:rFonts w:ascii="Times New Roman" w:hAnsi="Times New Roman"/>
          <w:i/>
          <w:color w:val="000000"/>
        </w:rPr>
        <w:t>Matriz detallada de trazabilidad metodológica por etapa A1–B2.</w:t>
      </w:r>
    </w:p>
    <w:tbl>
      <w:tblPr>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tblGrid>
      <w:tr>
        <w:trPr>
          <w:cantSplit/>
          <w:tblHeader w:val="true"/>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Fase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 o fenómeno modelado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flujo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Ecuación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de cálculo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del dato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 o uso posterior</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A1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para la misma lechería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uso directo del dato publicado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 publicado del sitio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 de actividad del inventario y masa de entrada a la transformación A1→A2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precompostado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A2 = m A1 × promedio(R j); R j = (d f,j × a f,j)/(d p,j × a p,j)</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A1 publicada y factor experimental integrado a partir de materia seca y cenizas de M1–M2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transformación húmeda A1→A2 calculada primero por jornada y promediada con igual peso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factor de transformación primario y masa A1 secundaria;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Mediciones gravimétricas del TFG para el factor; Sánchez-Romero y Brenes-Gamboa (2026) para la masa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y dato de actividad del inventario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arrastrable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A3 = m depositado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masa depositada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A3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eq,A4 = m remanente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teóricamente depositado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B1 = m recolectado / f recolectada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fracción recolectada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B1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eq,B2 = m depositado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sólido;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interetapa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total,entrada,A2 = N total,salida,A1; TAN entrada,A2 = TAN salida,A1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intermedia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en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N03K</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NH₃ = (m A2/1000) × 12,8/1000; N NH₃ = m NH₃ × 14/17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 g NH₃/Mg de residuo orgánico húmedo; cálculo independiente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 no reinicializa N/TAN</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de N estimada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perdido por la ruta hídrica modelada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water loss = N total,entrada × FracLeachMS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FracLeachMS = 0,04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modelada que, por la frontera metodológica aprobada, se trata después como entrada a la ruta de suelo; no produce directamente NO₃⁻</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Ruta posterior de lixiviación o escorrentía en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NO₃⁻ y N₂O indirecto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water loss × FracLEACH; m NO₃⁻ = N lix × 62/14; 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A1 tratada como entrada al suelo según la frontera aprobada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 conversión 62/14; 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y N₂O a aire para caracterización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aplicado,A4 = N salida,A3; TAN aplicado,A4 = TAN salida,A3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aplicado,B2 = N salida,B1; TAN aplicado,B2 = TAN salida,B1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NOx y NO₃⁻ generadas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generadas en A2; sin recursos operativos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A3;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A3;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A4; ruta del diésel IMN → emisiones físicas →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B1;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B1;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B2; ruta del diésel IMN → emisiones físicas → EF 3.1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D. Trazabilidad experimental de las campañas M1–M2</w:t>
      </w:r>
    </w:p>
    <w:p>
      <w:pPr>
        <w:spacing w:line="240" w:lineRule="auto" w:before="0" w:after="0"/>
        <w:ind w:left="100" w:firstLine="719"/>
        <w:jc w:val="both"/>
      </w:pPr>
      <w:r>
        <w:rPr>
          <w:rFonts w:ascii="Times New Roman" w:hAnsi="Times New Roman"/>
          <w:sz w:val="24"/>
        </w:rPr>
        <w:t>La Tabla 18 documenta el diseño físico ejecutado en M1 y M2, la relación entre muestras compartidas o independientes y la condición de uso de cada determinación. La vista resume la evidencia necesaria para reproducir el diseño sin reemplazar los registros analíticos primarios.</w:t>
      </w:r>
    </w:p>
    <w:p>
      <w:pPr>
        <w:pStyle w:val="Rótuloacadémico"/>
        <w:keepNext/>
      </w:pPr>
      <w:r>
        <w:rPr>
          <w:rFonts w:ascii="Times New Roman" w:hAnsi="Times New Roman"/>
          <w:b/>
          <w:color w:val="000000"/>
        </w:rPr>
        <w:t>Tabla 18</w:t>
      </w:r>
    </w:p>
    <w:p>
      <w:pPr>
        <w:pStyle w:val="Descripciónacadémica"/>
        <w:keepNext/>
      </w:pPr>
      <w:r>
        <w:rPr>
          <w:rFonts w:ascii="Times New Roman" w:hAnsi="Times New Roman"/>
          <w:i/>
          <w:color w:val="000000"/>
        </w:rPr>
        <w:t>Diseño de muestreo y distribución analítica de las campañas M1–M2.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Campaña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Identificación temporal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Muestras compuestas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Determinación y laboratorio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física y condición de uso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10 de noviembre de 2025; recepción LASA: 11 de noviembre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el Laboratorio de Bioenergía y dos independientes para LASA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el Laboratorio de Bioenergía y dos independientes para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17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LASA: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LASA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CIA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27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bl>
    <w:p>
      <w:pPr>
        <w:spacing w:line="240" w:lineRule="auto" w:before="0" w:after="0"/>
        <w:ind w:left="100" w:firstLine="719"/>
        <w:jc w:val="both"/>
      </w:pPr>
      <w:r>
        <w:rPr>
          <w:rFonts w:ascii="Times New Roman" w:hAnsi="Times New Roman"/>
          <w:sz w:val="24"/>
        </w:rPr>
        <w:t>La Tabla 19 reúne los resultados experimentales intermedios necesarios para seguir la construcción de los parámetros del modelo. Los valores corresponden a la integración vigente y se presentan redondeados solo para lectura; los cálculos conservan la precisión interna de sus fuentes.</w:t>
      </w:r>
    </w:p>
    <w:p>
      <w:pPr>
        <w:pStyle w:val="Rótuloacadémico"/>
        <w:keepNext/>
      </w:pPr>
      <w:r>
        <w:rPr>
          <w:rFonts w:ascii="Times New Roman" w:hAnsi="Times New Roman"/>
          <w:b/>
          <w:color w:val="000000"/>
        </w:rPr>
        <w:t>Tabla 19</w:t>
      </w:r>
    </w:p>
    <w:p>
      <w:pPr>
        <w:pStyle w:val="Descripciónacadémica"/>
        <w:keepNext/>
      </w:pPr>
      <w:r>
        <w:rPr>
          <w:rFonts w:ascii="Times New Roman" w:hAnsi="Times New Roman"/>
          <w:i/>
          <w:color w:val="000000"/>
        </w:rPr>
        <w:t>Resultados experimentales esenciales y función en el modelo.</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derivación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Campañas elegibles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provisional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o 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en el modelo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productiva de N total y TAN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y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en material acondicionado a 80 °C durante 48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experimental de A2; no reinicializa N total ni TAN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transformación A1→A2 y conversión autorizada de la referencia de 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A3 ni A4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B1 ni B2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estiércol fresco a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masa húmeda remanente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0,423962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calculada primero por campaña y luego integrada con igual peso temporal</w:t>
            </w:r>
          </w:p>
        </w:tc>
      </w:tr>
    </w:tbl>
    <w:p>
      <w:pPr>
        <w:spacing w:line="240" w:lineRule="auto" w:before="0" w:after="0"/>
        <w:ind w:left="100" w:firstLine="719"/>
        <w:jc w:val="both"/>
        <w:sectPr>
          <w:headerReference w:type="default" r:id="rId9"/>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E. Balances intermedios y emisiones desagregadas</w:t>
      </w:r>
    </w:p>
    <w:p>
      <w:pPr>
        <w:spacing w:line="240" w:lineRule="auto" w:before="0" w:after="0"/>
        <w:ind w:left="100" w:firstLine="719"/>
        <w:jc w:val="both"/>
      </w:pPr>
      <w:r>
        <w:rPr>
          <w:rFonts w:ascii="Times New Roman" w:hAnsi="Times New Roman"/>
          <w:sz w:val="24"/>
        </w:rPr>
        <w:t>Las tres vistas de este apéndice se leen de manera secuencial y cumplen funciones distintas: primero se presenta la propagación contable en base N, después se detallan las pérdidas físicas también en base N y, por último, se muestran las emisiones expresadas como las especies moleculares utilizadas por el inventario.</w:t>
      </w:r>
    </w:p>
    <w:p>
      <w:pPr>
        <w:spacing w:line="240" w:lineRule="auto" w:before="0" w:after="0"/>
        <w:ind w:left="100" w:firstLine="719"/>
        <w:jc w:val="both"/>
      </w:pPr>
      <w:r>
        <w:rPr>
          <w:rFonts w:ascii="Times New Roman" w:hAnsi="Times New Roman"/>
          <w:sz w:val="24"/>
        </w:rPr>
        <w:t>La Tabla 20 permite seguir la propagación del N total y del TAN entre las etapas conectadas. En A4 y B2, la columna de transferencia presenta el N retornado al suelo según EMEP; el N residual después de las pérdidas directas se conserva por separado y no lo sustituye.</w:t>
      </w:r>
    </w:p>
    <w:p>
      <w:pPr>
        <w:pStyle w:val="Rótuloacadémico"/>
        <w:keepNext/>
      </w:pPr>
      <w:r>
        <w:rPr>
          <w:rFonts w:ascii="Times New Roman" w:hAnsi="Times New Roman"/>
          <w:b/>
          <w:color w:val="000000"/>
        </w:rPr>
        <w:t>Tabla 20</w:t>
      </w:r>
    </w:p>
    <w:p>
      <w:pPr>
        <w:pStyle w:val="Descripciónacadémica"/>
        <w:keepNext/>
      </w:pPr>
      <w:r>
        <w:rPr>
          <w:rFonts w:ascii="Times New Roman" w:hAnsi="Times New Roman"/>
          <w:i/>
          <w:color w:val="000000"/>
        </w:rPr>
        <w:t>Propagación anual de N total y TAN por etapa.</w:t>
      </w:r>
    </w:p>
    <w:tbl>
      <w:tblPr>
        <w:tblW w:type="auto" w:w="0"/>
        <w:jc w:val="center"/>
        <w:tblLook w:firstColumn="1" w:firstRow="1" w:lastColumn="0" w:lastRow="0" w:noHBand="0" w:noVBand="1" w:val="04A0"/>
      </w:tblPr>
      <w:tblGrid>
        <w:gridCol w:w="2197"/>
        <w:gridCol w:w="2197"/>
        <w:gridCol w:w="2197"/>
        <w:gridCol w:w="2197"/>
        <w:gridCol w:w="2197"/>
        <w:gridCol w:w="2197"/>
      </w:tblGrid>
      <w:tr>
        <w:trPr>
          <w:cantSplit/>
          <w:tblHeader w:val="true"/>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de entrada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TAN de entrada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transferido o retornado según EMEP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residual del suelo después de pérdidas directas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TAN de salida (kg N/año)</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90,789754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54,473852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20,155325</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20,155325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45,797288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13,828854</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45,348642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27,209185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26,08033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16,268976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9,754819</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136,138396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81,683037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78,294172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48,840103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29,284349</w:t>
            </w:r>
          </w:p>
        </w:tc>
      </w:tr>
    </w:tbl>
    <w:p>
      <w:pPr>
        <w:spacing w:line="240" w:lineRule="auto" w:before="0" w:after="0"/>
        <w:ind w:left="100" w:firstLine="719"/>
        <w:jc w:val="both"/>
      </w:pPr>
      <w:r>
        <w:rPr>
          <w:rFonts w:ascii="Times New Roman" w:hAnsi="Times New Roman"/>
          <w:sz w:val="24"/>
        </w:rPr>
        <w:t>La Tabla 21 expresa sobre una base común de N las pérdidas directas que permiten conciliar el N de entrada con la transferencia o el remanente de cada etapa. El N₂ se conserva en el balance físico, aunque no recibe caracterización en las categorías evaluadas.</w:t>
      </w:r>
    </w:p>
    <w:p>
      <w:pPr>
        <w:pStyle w:val="Rótuloacadémico"/>
        <w:keepNext/>
      </w:pPr>
      <w:r>
        <w:rPr>
          <w:rFonts w:ascii="Times New Roman" w:hAnsi="Times New Roman"/>
          <w:b/>
          <w:color w:val="000000"/>
        </w:rPr>
        <w:t>Tabla 21</w:t>
      </w:r>
    </w:p>
    <w:p>
      <w:pPr>
        <w:pStyle w:val="Descripciónacadémica"/>
        <w:keepNext/>
      </w:pPr>
      <w:r>
        <w:rPr>
          <w:rFonts w:ascii="Times New Roman" w:hAnsi="Times New Roman"/>
          <w:i/>
          <w:color w:val="000000"/>
        </w:rPr>
        <w:t>Pérdidas físicas anuales de N por etapa.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TAN para las pérdidas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NOx-N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N₂O-N directo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perdido en agua durante el manejo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por lixiviación o escorrentía (kg N/año)</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17,431633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0,544739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16,342156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0,453949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3,63159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0,871582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0,078321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0,201553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6,046598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0,261928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7,255783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0,002902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0,087069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11,922557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0,462644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0,228017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9,120693</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21,782143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0,261386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35,791982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1,388875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0,684517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27,380677</w:t>
            </w:r>
          </w:p>
        </w:tc>
      </w:tr>
    </w:tbl>
    <w:p>
      <w:pPr>
        <w:spacing w:line="240" w:lineRule="auto" w:before="0" w:after="0"/>
        <w:ind w:left="100" w:firstLine="719"/>
        <w:jc w:val="both"/>
      </w:pPr>
      <w:r>
        <w:rPr>
          <w:rFonts w:ascii="Times New Roman" w:hAnsi="Times New Roman"/>
          <w:sz w:val="24"/>
        </w:rPr>
        <w:t>La Tabla 22 desagrega las emisiones que explican los impactos por etapa. Los valores proceden de la tabla canónica de emisiones; la vista no añade rutas ni recalcula factores.</w:t>
      </w:r>
    </w:p>
    <w:p>
      <w:pPr>
        <w:pStyle w:val="Rótuloacadémico"/>
        <w:keepNext/>
      </w:pPr>
      <w:r>
        <w:rPr>
          <w:rFonts w:ascii="Times New Roman" w:hAnsi="Times New Roman"/>
          <w:b/>
          <w:color w:val="000000"/>
        </w:rPr>
        <w:t>Tabla 22</w:t>
      </w:r>
    </w:p>
    <w:p>
      <w:pPr>
        <w:pStyle w:val="Descripciónacadémica"/>
        <w:keepNext/>
      </w:pPr>
      <w:r>
        <w:rPr>
          <w:rFonts w:ascii="Times New Roman" w:hAnsi="Times New Roman"/>
          <w:i/>
          <w:color w:val="000000"/>
        </w:rPr>
        <w:t>Emisiones anuales desagregadas por etapa y ruta.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directo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indirecto por volatilización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indirecto por lixiviación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NOx como NO₂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8,116596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0,713348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0,39548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0,015066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21,166983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1,789855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3,859862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4,631412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0,006157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0,095104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0,159691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8,810593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0,009536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0,272474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0,157658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14,477391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1,520115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40,39164</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184,995562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0,479399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26,449745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1,075669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0,817979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0,473295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43,461693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121,257284</w:t>
            </w:r>
          </w:p>
        </w:tc>
      </w:tr>
    </w:tbl>
    <w:sectPr w:rsidR="00FC693F" w:rsidRPr="0006063C" w:rsidSect="00034616">
      <w:pgSz w:w="15840" w:h="12240" w:orient="landscape"/>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