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datos publicados utilizados para cuantificar la generación de residuos durante el ordeño. Las observaciones directas, las comunicaciones operativas de campo, los supuestos del estudio y la información de laboratorio conservaron procedencias independientes.</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aproximadamente 26 278,7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aproximadamente 26 278,7 kg de estiércol fresco/año.</w:t>
      </w:r>
    </w:p>
    <w:p>
      <w:pPr>
        <w:spacing w:line="240" w:lineRule="auto" w:before="0" w:after="0"/>
        <w:ind w:left="100" w:firstLine="719"/>
        <w:jc w:val="both"/>
      </w:pPr>
      <w:r>
        <w:rPr>
          <w:rFonts w:ascii="Times New Roman" w:hAnsi="Times New Roman"/>
          <w:sz w:val="24"/>
        </w:rPr>
        <w:t>El Escenario A representó la operación habitual observada. El estiércol recogido con pala, equivalente a 66,69 % del depósito estimado, entró a A1: Precomposteo y después continuó hacia A2: Lombricompostaje. El 33,31 % restante permaneció en el piso, se incorporó al agua de lavado y formó las aguas verdes que llegaron mediante el drenaje o canal a la tanqueta. A3: Almacenamiento de aguas verdes representó su almacenamiento y A4: Aplicación de aguas verdes en campos de pastoreo, su aplicación.</w:t>
      </w:r>
    </w:p>
    <w:p>
      <w:pPr>
        <w:spacing w:line="240" w:lineRule="auto" w:before="0" w:after="0"/>
        <w:ind w:left="100" w:firstLine="719"/>
        <w:jc w:val="both"/>
      </w:pPr>
      <w:r>
        <w:rPr>
          <w:rFonts w:ascii="Times New Roman" w:hAnsi="Times New Roman"/>
          <w:sz w:val="24"/>
        </w:rPr>
        <w:t>El Escenario B fue la alternativa comparativa del ACV, pero no una condición puramente hipotética ni la operación habitual permanente. Para materializarlo temporalmente se suspendió la desviación normal del sólido hacia precomposteo y lombricompostaje, el estiércol paleado se dirigió a la tanqueta y el remanente del piso se incorporó mediante lavado. Así se generaron, acumularon, observaron y muestrearon los purines representativos. El 100 % del estiércol teóricamente depositado, equivalente a aproximadamente 26 278,7 kg/año, se representó en B1: Almacenamiento de purines y B2: Aplicación de purines en campo de pastoreo.</w:t>
      </w:r>
    </w:p>
    <w:p>
      <w:pPr>
        <w:spacing w:line="240" w:lineRule="auto" w:before="0" w:after="0"/>
        <w:ind w:left="100" w:firstLine="719"/>
        <w:jc w:val="both"/>
      </w:pPr>
      <w:r>
        <w:rPr>
          <w:rFonts w:ascii="Times New Roman" w:hAnsi="Times New Roman"/>
          <w:sz w:val="24"/>
        </w:rPr>
        <w:t>Las campañas de aguas verdes y purines ocurrieron en momentos diferentes y utilizaron la misma tanqueta; no implicaron la coexistencia simultánea de ambos contenidos. La tanqueta cumplió la función de almacenamiento. El cañón VAIA, accionado por el tractor, cumplió la función distinta de aplicar los efluentes al campo en A4 o B2.</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Su duración habitual se comunicó como una estimación operativa de aproximadamente 21 días a cerca de un mes, por lo que se describe como tres a cuatro semanas sin atribuir una medición instrumentada a 28 días. A2: Lombricompostaje comienza cuando el material que completó A1 ingresa a las camas y su operación regular dura aproximadamente 13 semanas. Vargas Sarmiento (2023, sección 5.2.2.1, p. 14; sección 6.1.3, p. 25) documentó en el mismo lombricario 13 semanas desde la siembra de las lombrices y para procesar toda la boñiga. Esta referencia respalda A2, pero no se utilizó como confirmación inequívoca de la duración operativa de A1.</w:t>
      </w:r>
    </w:p>
    <w:p>
      <w:pPr>
        <w:spacing w:line="240" w:lineRule="auto" w:before="0" w:after="0"/>
        <w:ind w:left="100" w:firstLine="719"/>
        <w:jc w:val="both"/>
      </w:pPr>
      <w:r>
        <w:rPr>
          <w:rFonts w:ascii="Times New Roman" w:hAnsi="Times New Roman"/>
          <w:sz w:val="24"/>
        </w:rPr>
        <w:t>Las duraciones de A1 y A2 son consecutivas y contextuales; no se sumaron para atribuirlas a una sola etapa ni se utilizaron para escalar factores IPCC, EMEP/EEA o Komakech. Las muestras sólidas del presente TFG correspondieron a estiércol fresco y estiércol precompostado listo para alimentar las lombrices. No se muestreó el lombricompost terminado y las 13 semanas no describen la edad del material precompostado analizado.</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mezcla física integró el agua de lavado y el estiércol remanente incorporado a las aguas verdes. El N total y el nitrógeno amoniacal total aplicados fueron los remanentes propagados desde A3; la caracterización química específica de las aguas verdes se conservó como contraste experimental y no reinicializó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Su mezcla física integró el agua de lavado y la totalidad del estiércol incorporado al purín. El N total y el nitrógeno amoniacal total aplicados fueron los remanentes propagados desde B1; la caracterización química específica del purín se conservó como contraste experimental y no reinicializó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humedad, materia seca, cenizas, sólidos volátiles y nitrógeno total. El estiércol precompostado caracterizó el material obtenido tras A1 y disponible al ingreso de A2; no representa el producto final del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3039424"/>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3039424"/>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Las determinaciones gravimétricas se realizaron en el Laboratorio de Bioenergía de la Escuela de Ingeniería de Biosistemas de la Universidad de Costa Rica. En M1 se obtuvieron, para cada material sólido, dos muestras compuestas analizadas por el Laboratorio de Bioenergía y otras dos muestras compuestas independientes destinadas al laboratorio externo: LASA para el estiércol fresco y CIA para el precompostado. En M2 se obtuvieron tres muestras compuestas por material sólido; el Laboratorio de Bioenergía efectuó tres réplicas gravimétricas de cada muestra y el remanente de esas mismas muestras se remitió a LASA o CIA. Por tanto, los conjuntos físicos de M1 fueron disjuntos entre laboratorios, mientras que en M2 la identidad de las muestras fue compartida.</w:t>
      </w:r>
    </w:p>
    <w:p>
      <w:pPr>
        <w:spacing w:line="240" w:lineRule="auto" w:before="0" w:after="0"/>
        <w:ind w:left="100" w:firstLine="719"/>
        <w:jc w:val="both"/>
      </w:pPr>
      <w:r>
        <w:rPr>
          <w:rFonts w:ascii="Times New Roman" w:hAnsi="Times New Roman"/>
          <w:sz w:val="24"/>
        </w:rPr>
        <w:t>En M1, el muestreo de estiércol fresco se realizó el 10 de noviembre de 2025; LASA recibió las muestras el 11 de noviembre, efectuó el análisis del 13 al 14 de noviembre y emitió el informe el 19 de noviembre. Las fotografías documentan trabajo en el Laboratorio de Bioenergía entre el 10 y el 11 de noviembre. En M2, las fotografías registran preparación de campo el 20 de julio de 2026 y trabajo en el Laboratorio de Bioenergía el 21 de julio; LASA recibió el estiércol fresco el 23 de julio, efectuó el análisis entre el 24 de julio y el 4 de agosto y emitió el informe el 5 de agosto. Las fechas de recepción y emisión de los informes CIA se conservaron como fechas administrativas y no se utilizaron para inferir fechas de muestreo o análisis.</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M2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Antes de cada campaña de muestreo líquido, la tanqueta se vació el jueves por la tarde y se dejó acumular material hasta el lunes por la mañana. Durante ese intervalo de acumulación previo al muestreo continuaron entrando materiales y ocurrieron dos lavados; por tanto, no se trató de una carga cerrada ni de un ensayo de almacenamiento estático. Las campañas de aguas verdes y purines se realizaron por separado.</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3"/>
      </w:pPr>
      <w:r>
        <w:rPr>
          <w:rFonts w:ascii="Times New Roman" w:hAnsi="Times New Roman"/>
          <w:color w:val="000000"/>
        </w:rPr>
        <w:t>10.1 Fuentes y levantamiento del inventario</w:t>
      </w:r>
    </w:p>
    <w:p>
      <w:pPr>
        <w:spacing w:line="240" w:lineRule="auto" w:before="0" w:after="0"/>
        <w:ind w:left="100" w:firstLine="719"/>
        <w:jc w:val="both"/>
      </w:pPr>
      <w:r>
        <w:rPr>
          <w:rFonts w:ascii="Times New Roman" w:hAnsi="Times New Roman"/>
          <w:sz w:val="24"/>
        </w:rPr>
        <w:t>El Inventario de Ciclo de Vida se construyó combinando la caracterización experimental de los materiales, las observaciones y los registros operativos de la finca, datos previamente publicados para la misma lechería, factores metodológicos oficiales o procedentes de literatura, supuestos explícitos y transformaciones reproducibles realizadas en el flujo de cálculo.</w:t>
      </w:r>
    </w:p>
    <w:p>
      <w:pPr>
        <w:spacing w:line="240" w:lineRule="auto" w:before="0" w:after="0"/>
        <w:ind w:left="100" w:firstLine="719"/>
        <w:jc w:val="both"/>
      </w:pPr>
      <w:r>
        <w:rPr>
          <w:rFonts w:ascii="Times New Roman" w:hAnsi="Times New Roman"/>
          <w:sz w:val="24"/>
        </w:rPr>
        <w:t>La procedencia académica y el tratamiento del dato se registraron como dimensiones independientes. Se consideraron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para los cuales no se disponía de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al investigador las estimaciones obtenidas. Los valores se incorporaron como información operativa primaria aproximada, no como entrevistas formales ni mediciones directas de Saúl o de los operarios.</w:t>
      </w:r>
    </w:p>
    <w:p>
      <w:pPr>
        <w:spacing w:line="240" w:lineRule="auto" w:before="0" w:after="0"/>
        <w:ind w:left="100" w:firstLine="719"/>
        <w:jc w:val="both"/>
      </w:pPr>
      <w:r>
        <w:rPr>
          <w:rFonts w:ascii="Times New Roman" w:hAnsi="Times New Roman"/>
          <w:sz w:val="24"/>
        </w:rPr>
        <w:t>Los datos publicados para la misma lechería, las guías oficiales y la literatura científica se clasificaron como información secundaria. La eficiencia de la bomba de 0,80 y el consumo de diésel de 3 L/h se conservaron como supuestos del estudio, no como datos comunicados por el informante. Los 686,5 L/día de agua de lavado procedieron de Sánchez-Romero y Brenes-Gamboa (2026), mientras que la potencia nominal de 1,5 kW se observó en la placa del equipo.</w:t>
      </w:r>
    </w:p>
    <w:p>
      <w:pPr>
        <w:spacing w:line="240" w:lineRule="auto" w:before="0" w:after="0"/>
        <w:ind w:left="100" w:firstLine="719"/>
        <w:jc w:val="both"/>
      </w:pPr>
      <w:r>
        <w:rPr>
          <w:rFonts w:ascii="Times New Roman" w:hAnsi="Times New Roman"/>
          <w:sz w:val="24"/>
        </w:rPr>
        <w:t>El flujo común de aproximadamente 26 278,7 kg de estiércol fresco/año fue un resultado calculado. Sánchez-Romero y Brenes-Gamboa (2026) aportaron una masa viva media de 396,6 kg/animal, 18 animales, 3,5 h/día de permanencia, 2,7 kg/animal recolectados y 17 525,1 kg/año recolectados. El TFG adoptó por separado el límite inferior de 7 % de la masa viva por día del intervalo bibliográfico citado por esos autores. La generación diaria se prorrateó por 3,5/24; la fracción recolectada se obtuvo al comparar el depósito teórico por animal con la masa recolectada, y el total depositado anual se estimó dividiendo la masa anual recolectada entre esa fracción. La publicación no reportó directamente el resultado calculado.</w:t>
      </w:r>
    </w:p>
    <w:p>
      <w:pPr>
        <w:spacing w:line="240" w:lineRule="auto" w:before="0" w:after="0"/>
        <w:ind w:left="100" w:firstLine="719"/>
        <w:jc w:val="both"/>
      </w:pPr>
      <w:r>
        <w:rPr>
          <w:rFonts w:ascii="Times New Roman" w:hAnsi="Times New Roman"/>
          <w:sz w:val="24"/>
        </w:rPr>
        <w:t>La categoría terciaria se reservó para compilaciones empleadas principalmente como apoyo contextual o para localizar fuentes; ninguna entrada cuantitativa activa del inventario requirió esa clasificación. Del mismo modo, medido, observado, publicado, supuesto, calculado, integrado, propagado, factor metodológico y factor de caracterización describen el tratamiento del dato y no reemplazan su procedencia.</w:t>
      </w:r>
    </w:p>
    <w:p>
      <w:pPr>
        <w:spacing w:line="240" w:lineRule="auto" w:before="0" w:after="0"/>
        <w:ind w:left="100" w:firstLine="719"/>
        <w:jc w:val="both"/>
      </w:pPr>
      <w:r>
        <w:rPr>
          <w:rFonts w:ascii="Times New Roman" w:hAnsi="Times New Roman"/>
          <w:sz w:val="24"/>
        </w:rPr>
        <w:t>La Tabla 4 resume seis macrofamilias de información y su función metodológica. La matriz completa de 15 familias, con etapas, subtipo, fuente concreta y uso, se presenta en el Apéndice interno D, Matriz detallada de procedencia de los datos del inventario.</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Procedencia y tratamiento de las familias de datos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lógica metodológica se organizó además por etapa para mostrar, sin reconstruir el modelo, la relación entre proceso, dato de actividad, ecuación vigente, fuente y uso posterior. La Tabla 5 sintetiza las seis etapas obligatorias; la matriz completa se presenta en el Apéndice interno E, Matriz detallada de trazabilidad metodológica por etapa A1–B2.</w:t>
      </w:r>
    </w:p>
    <w:p>
      <w:pPr>
        <w:spacing w:line="240" w:lineRule="auto" w:before="0" w:after="0"/>
        <w:ind w:left="100" w:firstLine="719"/>
        <w:jc w:val="both"/>
      </w:pPr>
      <w:r>
        <w:rPr>
          <w:rFonts w:ascii="Times New Roman" w:hAnsi="Times New Roman"/>
          <w:sz w:val="24"/>
        </w:rPr>
        <w:t>La matriz distingue la generación del inventario de su caracterización: primero se obtienen emisiones o consumos y, únicamente después, los flujos elementales compatibles se multiplican por factores de Environmental Footprint 3.1 para producir indicadores. El factor agregado del Instituto Meteorológico Nacional para electricidad conserva su tratamiento separado.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Síntesis de la trazabilidad metodológica por etapa A1–B2.</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Para cada réplica se registró la masa de un recipiente limpio, seco y vacío y se añadieron aproximadamente 10 g de muestra fresca. Después del secado a 105 °C durante 16 h, el recipiente se enfrió en desecador y se pesó nuevamente. La materia seca se calculó a partir de la masa remanente por diferencia y la humedad como la fracción de agua removida. Estas determinaciones gravimétricas del Laboratorio de Bioenergía son independientes del acondicionamiento aplicado por el CIA para el análisis elemental.</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M</m:t>
            </m:r>
            <m:r>
              <m:rPr>
                <m:sty m:val="i"/>
              </m:rPr>
              <m:t>S</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H</m:t>
            </m:r>
            <m:r>
              <m:rPr>
                <m:sty m:val="i"/>
              </m:rPr>
              <m:t>u</m:t>
            </m:r>
            <m:r>
              <m:rPr>
                <m:sty m:val="i"/>
              </m:rPr>
              <m:t>m</m:t>
            </m:r>
            <m:r>
              <m:rPr>
                <m:sty m:val="i"/>
              </m:rPr>
              <m:t>e</m:t>
            </m:r>
            <m:r>
              <m:rPr>
                <m:sty m:val="i"/>
              </m:rPr>
              <m:t>d</m:t>
            </m:r>
            <m:r>
              <m:rPr>
                <m:sty m:val="i"/>
              </m:rPr>
              <m:t>a</m:t>
            </m:r>
            <m:r>
              <m:rPr>
                <m:sty m:val="i"/>
              </m:rPr>
              <m:t>d</m:t>
            </m:r>
            <m:r>
              <m:rPr>
                <m:sty m:val="p"/>
              </m:rPr>
              <m:t>(</m:t>
            </m:r>
            <m:r>
              <m:rPr>
                <m:sty m:val="i"/>
              </m:rPr>
              <m:t>%</m:t>
            </m:r>
            <m:r>
              <m:rPr>
                <m:sty m:val="p"/>
              </m:rPr>
              <m:t>)</m:t>
            </m:r>
            <m:r>
              <m:rPr>
                <m:sty m:val="p"/>
              </m:rPr>
              <m:t>=</m:t>
            </m:r>
            <m:f>
              <m:num>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rPr>
                        <m:sty m:val="p"/>
                      </m:rPr>
                      <m:t>−</m:t>
                    </m:r>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Se transfirió aproximadamente 1 g del material seco a un crisol limpio, seco y previamente pesado. Después de registrar la masa del crisol con la porción seca, la muestra se incineró en mufla a 575 °C durante 4 h, se enfrió en desecador y se efectuó la pesada final. Las cenizas se determinaron como la fracción mineral remanente y los sólidos volátiles como la fracción de la materia seca perdida durante la incineración.</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r>
              <m:rPr>
                <m:sty m:val="i"/>
              </m:rPr>
              <m:t>e</m:t>
            </m:r>
            <m:r>
              <m:rPr>
                <m:sty m:val="i"/>
              </m:rPr>
              <m:t>n</m:t>
            </m:r>
            <m:r>
              <m:rPr>
                <m:sty m:val="i"/>
              </m:rPr>
              <m:t>i</m:t>
            </m:r>
            <m:r>
              <m:rPr>
                <m:sty m:val="i"/>
              </m:rPr>
              <m:t>z</m:t>
            </m:r>
            <m:r>
              <m:rPr>
                <m:sty m:val="i"/>
              </m:rPr>
              <m:t>a</m:t>
            </m:r>
            <m:r>
              <m:rPr>
                <m:sty m:val="i"/>
              </m:rPr>
              <m:t>s</m:t>
            </m:r>
            <m:r>
              <m:rPr>
                <m:sty m:val="p"/>
              </m:rPr>
              <m:t>(</m:t>
            </m:r>
            <m:r>
              <m:rPr>
                <m:sty m:val="i"/>
              </m:rPr>
              <m:t>%</m:t>
            </m:r>
            <m:r>
              <m:rPr>
                <m:sty m:val="p"/>
              </m:rPr>
              <m:t>)</m:t>
            </m:r>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 cenizas = masa remanente después de calcinación,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S</m:t>
            </m:r>
            <m:r>
              <m:rPr>
                <m:sty m:val="i"/>
              </m:rPr>
              <m:t>V</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r>
                      <m:rPr>
                        <m:sty m:val="p"/>
                      </m:rPr>
                      <m:t>−</m:t>
                    </m:r>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del Laboratorio de Bioenergía a 105 °C durante 16 h. El porcentaje integrado de N se convirtió a base húmeda con la materia seca gravimétrica exclusivamente para construir la referencia experimental de A2. El acondicionamiento CIA no se utilizó para reconstruir humedad ni se corrigieron posibles pérdidas de N durante esa preparación.</w:t>
      </w:r>
    </w:p>
    <w:p>
      <w:pPr>
        <w:spacing w:line="240" w:lineRule="auto" w:before="0" w:after="0"/>
        <w:ind w:left="100" w:firstLine="719"/>
        <w:jc w:val="both"/>
      </w:pPr>
      <w:r>
        <w:rPr>
          <w:rFonts w:ascii="Times New Roman" w:hAnsi="Times New Roman"/>
          <w:sz w:val="24"/>
        </w:rPr>
        <w:t>La referencia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f</m:t>
                        </m:r>
                        <m:r>
                          <m:rPr>
                            <m:sty m:val="p"/>
                          </m:rPr>
                          <m:t>r</m:t>
                        </m:r>
                        <m:r>
                          <m:rPr>
                            <m:sty m:val="p"/>
                          </m:rPr>
                          <m:t>a</m:t>
                        </m:r>
                        <m:r>
                          <m:rPr>
                            <m:sty m:val="p"/>
                          </m:rPr>
                          <m:t>c</m:t>
                        </m:r>
                        <m:r>
                          <m:rPr>
                            <m:sty m:val="p"/>
                          </m:rPr>
                          <m:t>t</m:t>
                        </m:r>
                        <m:r>
                          <m:rPr>
                            <m:sty m:val="p"/>
                          </m:rPr>
                          <m:t>i</m:t>
                        </m:r>
                        <m:r>
                          <m:rPr>
                            <m:sty m:val="p"/>
                          </m:rPr>
                          <m:t>o</m:t>
                        </m:r>
                        <m:r>
                          <m:rPr>
                            <m:sty m:val="p"/>
                          </m:rPr>
                          <m:t>n</m:t>
                        </m:r>
                        <m:r>
                          <m:rPr>
                            <m:sty m:val="p"/>
                          </m:rPr>
                          <m:t>,</m:t>
                        </m:r>
                        <m:r>
                          <m:rPr>
                            <m:sty m:val="p"/>
                          </m:rPr>
                          <m:t>w</m:t>
                        </m:r>
                        <m:r>
                          <m:rPr>
                            <m:sty m:val="p"/>
                          </m:rPr>
                          <m:t>e</m:t>
                        </m:r>
                        <m:r>
                          <m:rPr>
                            <m:sty m:val="p"/>
                          </m:rPr>
                          <m:t>t</m:t>
                        </m:r>
                        <m:r>
                          <m:rPr>
                            <m:sty m:val="p"/>
                          </m:rPr>
                          <m:t>,</m:t>
                        </m:r>
                        <m:r>
                          <m:rPr>
                            <m:sty m:val="p"/>
                          </m:rPr>
                          <m:t>A</m:t>
                        </m:r>
                        <m:r>
                          <m:rPr>
                            <m:sty m:val="p"/>
                          </m:rPr>
                          <m:t>2</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r>
                                  <m:rPr>
                                    <m:sty m:val="p"/>
                                  </m:rPr>
                                  <m:t>,</m:t>
                                </m:r>
                                <m:r>
                                  <m:rPr>
                                    <m:sty m:val="p"/>
                                  </m:rPr>
                                  <m:t>A</m:t>
                                </m:r>
                                <m:r>
                                  <m:rPr>
                                    <m:sty m:val="p"/>
                                  </m:rPr>
                                  <m:t>2</m:t>
                                </m:r>
                              </m:e>
                            </m:box>
                          </m:e>
                        </m:box>
                      </m:sub>
                    </m:sSub>
                  </m:e>
                </m:box>
              </m:num>
              <m:den>
                <m:box>
                  <m:e>
                    <m:r>
                      <m:rPr>
                        <m:sty m:val="p"/>
                      </m:rPr>
                      <m:t>100</m:t>
                    </m:r>
                  </m:e>
                </m:box>
              </m:den>
            </m:f>
            <m:r>
              <m:rPr>
                <m:sty m:val="p"/>
              </m:rPr>
              <m:t>×</m:t>
            </m:r>
            <m:f>
              <m:num>
                <m:box>
                  <m:e>
                    <m:r>
                      <m:rPr>
                        <m:sty m:val="i"/>
                      </m:rPr>
                      <m:t>M</m:t>
                    </m:r>
                    <m:sSub>
                      <m:e>
                        <m:r>
                          <m:rPr>
                            <m:sty m:val="i"/>
                          </m:rPr>
                          <m:t>S</m:t>
                        </m:r>
                      </m:e>
                      <m:sub>
                        <m:box>
                          <m:e>
                            <m:box>
                              <m:e>
                                <m:r>
                                  <m:rPr>
                                    <m:sty m:val="p"/>
                                  </m:rPr>
                                  <m:t>A</m:t>
                                </m:r>
                                <m:r>
                                  <m:rPr>
                                    <m:sty m:val="p"/>
                                  </m:rPr>
                                  <m:t>2</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fraction,wet,A2 = fracción de N de la referencia experimental, kg N/kg de precompostado húmedo; n ex,pct,A2 = concentración analítica integrada de N del material preparado/seco, %; MS A2 = materia seca gravimétrica integrada del TFG, % de la masa húmeda.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e>
                    </m:box>
                  </m:e>
                </m:box>
              </m:sub>
            </m:sSub>
            <m:r>
              <m:rPr>
                <m:sty m:val="p"/>
              </m:rPr>
              <m:t>=</m:t>
            </m:r>
            <m:sSub>
              <m:e>
                <m:r>
                  <m:rPr>
                    <m:sty m:val="i"/>
                  </m:rPr>
                  <m:t>m</m:t>
                </m:r>
              </m:e>
              <m:sub>
                <m:box>
                  <m:e>
                    <m:box>
                      <m:e>
                        <m:r>
                          <m:rPr>
                            <m:sty m:val="p"/>
                          </m:rPr>
                          <m:t>f</m:t>
                        </m:r>
                        <m:r>
                          <m:rPr>
                            <m:sty m:val="p"/>
                          </m:rPr>
                          <m:t>l</m:t>
                        </m:r>
                        <m:r>
                          <m:rPr>
                            <m:sty m:val="p"/>
                          </m:rPr>
                          <m:t>u</m:t>
                        </m:r>
                        <m:r>
                          <m:rPr>
                            <m:sty m:val="p"/>
                          </m:rPr>
                          <m:t>j</m:t>
                        </m:r>
                        <m:r>
                          <m:rPr>
                            <m:sty m:val="p"/>
                          </m:rPr>
                          <m:t>o</m:t>
                        </m:r>
                      </m:e>
                    </m:box>
                  </m:e>
                </m:box>
              </m:sub>
            </m:sSub>
            <m:r>
              <m:rPr>
                <m:sty m:val="p"/>
              </m:rPr>
              <m:t>×</m:t>
            </m:r>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e>
        </m:box>
      </m:oMath>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M</m:t>
                        </m:r>
                        <m:r>
                          <m:rPr>
                            <m:sty m:val="p"/>
                          </m:rPr>
                          <m:t>S</m:t>
                        </m:r>
                        <m:r>
                          <m:rPr>
                            <m:sty m:val="p"/>
                          </m:rPr>
                          <m:t>,</m:t>
                        </m:r>
                        <m:r>
                          <m:rPr>
                            <m:sty m:val="p"/>
                          </m:rPr>
                          <m:t>r</m:t>
                        </m:r>
                        <m:r>
                          <m:rPr>
                            <m:sty m:val="p"/>
                          </m:rPr>
                          <m:t>e</m:t>
                        </m:r>
                        <m:r>
                          <m:rPr>
                            <m:sty m:val="p"/>
                          </m:rPr>
                          <m:t>m</m:t>
                        </m:r>
                        <m:r>
                          <m:rPr>
                            <m:sty m:val="p"/>
                          </m:rPr>
                          <m:t>a</m:t>
                        </m:r>
                        <m:r>
                          <m:rPr>
                            <m:sty m:val="p"/>
                          </m:rPr>
                          <m:t>n</m:t>
                        </m:r>
                        <m:r>
                          <m:rPr>
                            <m:sty m:val="p"/>
                          </m:rPr>
                          <m:t>e</m:t>
                        </m:r>
                        <m:r>
                          <m:rPr>
                            <m:sty m:val="p"/>
                          </m:rPr>
                          <m:t>n</m:t>
                        </m:r>
                        <m:r>
                          <m:rPr>
                            <m:sty m:val="p"/>
                          </m:rPr>
                          <m:t>t</m:t>
                        </m:r>
                        <m:r>
                          <m:rPr>
                            <m:sty m:val="p"/>
                          </m:rPr>
                          <m:t>e</m:t>
                        </m:r>
                      </m:e>
                    </m:box>
                  </m:e>
                </m:box>
              </m:sub>
            </m:sSub>
            <m:r>
              <m:rPr>
                <m:sty m:val="p"/>
              </m:rPr>
              <m:t>=</m:t>
            </m:r>
            <m:f>
              <m:num>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num>
              <m:den>
                <m:box>
                  <m:e>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den>
            </m:f>
            <m:r>
              <m:rPr>
                <m:sty m:val="p"/>
              </m:rPr>
              <m:t>=</m:t>
            </m:r>
            <m:f>
              <m:num>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box>
                  <m:e>
                    <m:r>
                      <m:rPr>
                        <m:sty m:val="i"/>
                      </m:rPr>
                      <m:t>j</m:t>
                    </m:r>
                  </m:e>
                </m:box>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sSub>
              <m:e>
                <m:limUpp>
                  <m:e>
                    <m:r>
                      <m:rPr>
                        <m:sty m:val="i"/>
                      </m:rPr>
                      <m:t>m</m:t>
                    </m:r>
                  </m:e>
                  <m:lim>
                    <m:r>
                      <m:rPr>
                        <m:sty m:val="p"/>
                      </m:rPr>
                      <m:t>^</m:t>
                    </m:r>
                  </m:lim>
                </m:limUpp>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1</m:t>
                        </m:r>
                      </m:e>
                    </m:box>
                  </m:e>
                </m:box>
              </m:sub>
            </m:sSub>
            <m:r>
              <m:t/>
            </m:r>
            <m:limUpp>
              <m:e>
                <m:r>
                  <m:rPr>
                    <m:sty m:val="i"/>
                  </m:rPr>
                  <m:t>R</m:t>
                </m:r>
              </m:e>
              <m:lim>
                <m:r>
                  <m:rPr>
                    <m:sty m:val="p"/>
                  </m:rPr>
                  <m:t>―</m:t>
                </m:r>
              </m:lim>
            </m:limUpp>
          </m:e>
        </m:box>
      </m:oMath>
    </w:p>
    <w:p>
      <w:pPr>
        <w:spacing w:line="240" w:lineRule="auto" w:before="0" w:after="0"/>
        <w:ind w:left="100" w:firstLine="719"/>
        <w:jc w:val="both"/>
      </w:pPr>
      <w:r>
        <w:rPr>
          <w:rFonts w:ascii="Times New Roman" w:hAnsi="Times New Roman"/>
          <w:sz w:val="24"/>
        </w:rPr>
        <w:t>Donde: R j = razón estimada de masas húmedas en la jornada j, kg/kg; las fracciones de materia seca se refieren a masa húmeda y las de cenizas a materia seca; la barra representa la media de los factores de las jornadas elegibles con igual peso temporal. El sombrero identifica una masa inferida, no pesada a la salida de A1.</w:t>
      </w:r>
    </w:p>
    <w:p>
      <w:pPr>
        <w:spacing w:line="240" w:lineRule="auto" w:before="0" w:after="0"/>
        <w:ind w:left="100" w:firstLine="719"/>
        <w:jc w:val="both"/>
      </w:pPr>
      <w:r>
        <w:rPr>
          <w:rFonts w:ascii="Times New Roman" w:hAnsi="Times New Roman"/>
          <w:sz w:val="24"/>
        </w:rPr>
        <w:t>La conservación de cenizas es un supuesto de trazador: presupone que el material comparado representa la misma corriente y que no entra ni sale ceniza mineral. Cada razón se calculó con los promedios de la jornada antes de integrar las razones. La masa anual estimada a la entrada de A2 no es una medición de salida de A1; tampoco se exige que la razón integrada conserve exactamente las cenizas al combinarla con concentraciones integradas por separado.</w:t>
      </w:r>
    </w:p>
    <w:p>
      <w:pPr>
        <w:spacing w:line="240" w:lineRule="auto" w:before="0" w:after="0"/>
        <w:ind w:left="100" w:firstLine="719"/>
        <w:jc w:val="both"/>
      </w:pPr>
      <w:r>
        <w:rPr>
          <w:rFonts w:ascii="Times New Roman" w:hAnsi="Times New Roman"/>
          <w:sz w:val="24"/>
        </w:rPr>
        <w:t>La disminución estimada de masa húmeda no identifica por sí misma evaporación, degradación de sólidos, emisiones gaseosas ni drenaje. Se midió la humedad de muestras de estiércol fresco y precompostado, pero no los caudales de agua añadida, evaporada o drenada ni la masa de los sólidos perdidos entre ambas fronteras. Por ello no se cerró un balance cuantitativo de agua. El agua de lavado cuantificada corresponde a la ruta de aguas verdes y no se asignó a A1 ni a A2; la ausencia de riego regular observada en A2 tampoco equivale a demostrar un flujo de agua nulo.</w:t>
      </w:r>
    </w:p>
    <w:p>
      <w:pPr>
        <w:spacing w:line="240" w:lineRule="auto" w:before="0" w:after="0"/>
        <w:ind w:left="100" w:firstLine="719"/>
        <w:jc w:val="both"/>
      </w:pPr>
      <w:r>
        <w:rPr>
          <w:rFonts w:ascii="Times New Roman" w:hAnsi="Times New Roman"/>
          <w:sz w:val="24"/>
        </w:rPr>
        <w:t>La masa húmeda inferida sirve como base de actividad del metano de manejo y del factor de amoníaco de A2 expresado por masa de residuo entrante. El N total y el nitrógeno amoniacal total de A2 proceden del balance secuencial de A1, con pérdidas de N definidas por sus mecanismos específicos. La concentración analítica del precompostado multiplicada por la masa inferida constituye solo un contraste experimental independiente.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aproximadamente 26 278,7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humedad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La operación habitual se caracterizó por un vaciado de la tanqueta aproximadamente cada tres días. Esta frecuencia operativa sustenta la anualización de los consumos y no se reemplazó por el intervalo jueves–lunes empleado para preparar las muestras líquidas.</w:t>
      </w:r>
    </w:p>
    <w:p>
      <w:pPr>
        <w:spacing w:line="240" w:lineRule="auto" w:before="0" w:after="0"/>
        <w:ind w:left="100" w:firstLine="719"/>
        <w:jc w:val="both"/>
      </w:pPr>
      <w:r>
        <w:rPr>
          <w:rFonts w:ascii="Times New Roman" w:hAnsi="Times New Roman"/>
          <w:sz w:val="24"/>
        </w:rPr>
        <w:t>Para ambas etapas se utilizó un MCF de 38 % como aproximación conservadora del IPCC para clima tropical húmedo. El valor procede de la categoría tabulada de un mes y no corresponde a una medición específica del MCF para tres días ni se transformó como 38 % × 3/30. EF3 permaneció en cero y no se representó lixiviación sistemática. La mineralización previa del 10 % del N orgánico se mantuvo como aproximación EMEP por defecto y tampoco se escaló linealmente por la residencia. El tiempo físico de operación, el intervalo de acumulación previo al muestreo y la duración tabulada de la aproximación son conceptos distintos.</w:t>
      </w:r>
    </w:p>
    <w:p>
      <w:pPr>
        <w:spacing w:line="240" w:lineRule="auto" w:before="0" w:after="0"/>
        <w:ind w:left="100" w:firstLine="719"/>
        <w:jc w:val="both"/>
      </w:pPr>
      <w:r>
        <w:rPr>
          <w:rFonts w:ascii="Times New Roman" w:hAnsi="Times New Roman"/>
          <w:sz w:val="24"/>
        </w:rPr>
        <w:t>La capacidad máxima de producción de metano se fijó en B₀ = 0,24 m³ CH₄/kg SV, valor por defecto del IPCC 2019 para ganado lechero de sistemas de alta productividad en otras regiones y no medición local. La evidencia histórica publicada del mismo Módulo Lechero por Conejo-Morales y WingChing-Jones (2020) respalda esa clasificación frente a la alternativa de baja productividad, sin atribuir al hato de 2026 los rendimientos históricos ni interpretar el artículo como una medición de B₀. El factor 0,67 kg CH₄/m³ procede de la ecuación 10.23 del IPCC. AWMS = 1 se aplica a la corriente ya asignada a cada etapa y no al estiércol total de la finca.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las reservas correspondientes de B1. Ambas etapas representan aplicación al suelo de estiércol líquido previamente manejado y no deposición directa por animales durante pastoreo. Las mediciones intermedias se conservaron como referencias experimentales, sin reinicializar el balance secuencial.</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balance secuencial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una arquitectura híbrida explícita y trazable. La categoría IPCC Composting – Passive Windrow se adoptó como aproximación metodológica para estimar CH₄ y N₂O directo. La fracción de lixiviación se estableció en cero como parámetro específico de las condiciones operativas modeladas, sin afirmar imposibilidad física universal. La fracción IPCC de volatilización se conservó únicamente como referencia de orden de magnitud y no generó una emisión adicional. Esta arquitectura constituye una decisión metodológica vigente y no la aplicación íntegra de una sola guía.</w:t>
      </w:r>
    </w:p>
    <w:p>
      <w:pPr>
        <w:spacing w:line="240" w:lineRule="auto" w:before="0" w:after="0"/>
        <w:ind w:left="100" w:firstLine="719"/>
        <w:jc w:val="both"/>
      </w:pPr>
      <w:r>
        <w:rPr>
          <w:rFonts w:ascii="Times New Roman" w:hAnsi="Times New Roman"/>
          <w:sz w:val="24"/>
        </w:rPr>
        <w:t>La especiación del N de A2 combinó fuentes metodológicas. El NH₃ se estimó con el factor de 12,8 g NH₃ por Mg de residuo orgánico de entrada de Komakech et al. (2016), aplicado una sola vez a la masa húmeda inferida que ingresa a A2. El artículo obtuvo ese factor para reactores pequeños en Kampala, con residuo predominantemente ganadero, a partir de concentraciones gaseosas medidas y un flujo de aire estimado mediante el índice respirométrico dinámico; su transferencia al sistema de Turrialba se clasificó como aproximación experimental aprobada y extrapolación con limitaciones. El denominador se interpretó como masa húmeda de entrada porque el estudio formuló su unidad funcional y balance por tonelada de residuo o estiércol húmedo, aunque la expresión puntual del factor utiliza solamente el término residuo biológico. NO-N y N₂-N conservaron factores EMEP/EEA de almacenamiento sólido como aproximaciones metodológicas aprobadas provisionalmente ante la ausencia de una categoría específica de lombricompostaje. El factor de N₂-N de 0,300 kg/kg TAN se mantuvo como fuente importante de incertidumbre de representatividad, sin tratarlo como error ni sustituirlo por una relación IPCC N₂:N₂O.</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balance secuencial en kg N/año. El N total constituye la reserva física principal y el nitrógeno amoniacal total (TAN) una subreserva, sujeta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la aproximación experimental de 12,8 g NH₃ por Mg de residuo orgánico húmedo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El uso consecutivo de factores en A1 y A2 no duplicó el mismo N: A2 recibió el N total y la reserva residual de TAN a la salida de A1. Las duraciones específicas de ambas etapas introducen incertidumbre de representatividad temporal y de transferencia de las aproximaciones, pero no justifican un escalado lineal ni demuestran doble conteo.</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referencia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r>
                      <m:rPr>
                        <m:sty m:val="i"/>
                      </m:rPr>
                      <m:t>f</m:t>
                    </m:r>
                    <m:r>
                      <m:rPr>
                        <m:sty m:val="i"/>
                      </m:rPr>
                      <m:t>r</m:t>
                    </m:r>
                    <m:r>
                      <m:rPr>
                        <m:sty m:val="i"/>
                      </m:rPr>
                      <m:t>e</m:t>
                    </m:r>
                    <m:r>
                      <m:rPr>
                        <m:sty m:val="i"/>
                      </m:rPr>
                      <m:t>s</m:t>
                    </m:r>
                    <m:r>
                      <m:rPr>
                        <m:sty m:val="i"/>
                      </m:rPr>
                      <m:t>c</m:t>
                    </m:r>
                    <m:r>
                      <m:rPr>
                        <m:sty m:val="i"/>
                      </m:rPr>
                      <m:t>o</m:t>
                    </m:r>
                  </m:e>
                </m:box>
              </m:sub>
            </m:sSub>
            <m:r>
              <m:rPr>
                <m:sty m:val="p"/>
              </m:rPr>
              <m:t>=</m:t>
            </m:r>
            <m:r>
              <m:rPr>
                <m:sty m:val="p"/>
              </m:rPr>
              <m:t>0</m:t>
            </m:r>
            <m:box>
              <m:e>
                <m:r>
                  <m:rPr>
                    <m:sty m:val="p"/>
                  </m:rPr>
                  <m:t>,</m:t>
                </m:r>
              </m:e>
            </m:box>
            <m:r>
              <m:rPr>
                <m:sty m:val="p"/>
              </m:rPr>
              <m:t>60</m:t>
            </m:r>
            <m:r>
              <m:rPr>
                <m:sty m:val="p"/>
              </m:rPr>
              <m:t>×</m:t>
            </m:r>
            <m:sSub>
              <m:e>
                <m:r>
                  <m:rPr>
                    <m:sty m:val="i"/>
                  </m:rPr>
                  <m:t>N</m:t>
                </m:r>
              </m:e>
              <m:sub>
                <m:box>
                  <m:e>
                    <m:r>
                      <m:rPr>
                        <m:sty m:val="i"/>
                      </m:rPr>
                      <m:t>t</m:t>
                    </m:r>
                    <m:r>
                      <m:rPr>
                        <m:sty m:val="i"/>
                      </m:rPr>
                      <m:t>o</m:t>
                    </m:r>
                    <m:r>
                      <m:rPr>
                        <m:sty m:val="i"/>
                      </m:rPr>
                      <m:t>t</m:t>
                    </m:r>
                    <m:r>
                      <m:rPr>
                        <m:sty m:val="i"/>
                      </m:rPr>
                      <m:t>a</m:t>
                    </m:r>
                    <m:r>
                      <m:rPr>
                        <m:sty m:val="i"/>
                      </m:rPr>
                      <m:t>l</m:t>
                    </m:r>
                    <m:r>
                      <m:rPr>
                        <m:sty m:val="p"/>
                      </m:rPr>
                      <m:t>,</m:t>
                    </m:r>
                    <m:r>
                      <m:rPr>
                        <m:sty m:val="i"/>
                      </m:rPr>
                      <m:t>f</m:t>
                    </m:r>
                    <m:r>
                      <m:rPr>
                        <m:sty m:val="i"/>
                      </m:rPr>
                      <m:t>r</m:t>
                    </m:r>
                    <m:r>
                      <m:rPr>
                        <m:sty m:val="i"/>
                      </m:rPr>
                      <m:t>e</m:t>
                    </m:r>
                    <m:r>
                      <m:rPr>
                        <m:sty m:val="i"/>
                      </m:rPr>
                      <m:t>s</m:t>
                    </m:r>
                    <m:r>
                      <m:rPr>
                        <m:sty m:val="i"/>
                      </m:rPr>
                      <m:t>c</m:t>
                    </m:r>
                    <m:r>
                      <m:rPr>
                        <m:sty m:val="i"/>
                      </m:rPr>
                      <m:t>o</m:t>
                    </m:r>
                  </m:e>
                </m:box>
              </m:sub>
            </m:sSub>
          </m:e>
        </m:box>
      </m:oMath>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O</m:t>
                        </m:r>
                      </m:e>
                      <m:sub>
                        <m:r>
                          <m:rPr>
                            <m:sty m:val="i"/>
                          </m:rPr>
                          <m:t>x</m:t>
                        </m:r>
                      </m:sub>
                    </m:sSub>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v</m:t>
                    </m:r>
                    <m:r>
                      <m:rPr>
                        <m:sty m:val="i"/>
                      </m:rPr>
                      <m:t>o</m:t>
                    </m:r>
                    <m:r>
                      <m:rPr>
                        <m:sty m:val="i"/>
                      </m:rPr>
                      <m:t>l</m:t>
                    </m:r>
                  </m:e>
                </m:box>
              </m:sub>
            </m:sSub>
            <m:r>
              <m:rPr>
                <m:sty m:val="p"/>
              </m:rPr>
              <m:t>=</m:t>
            </m:r>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r>
              <m:rPr>
                <m:sty m:val="i"/>
              </m:rPr>
              <m:t>E</m:t>
            </m:r>
            <m:sSub>
              <m:e>
                <m:r>
                  <m:rPr>
                    <m:sty m:val="i"/>
                  </m:rPr>
                  <m:t>F</m:t>
                </m:r>
              </m:e>
              <m:sub>
                <m:r>
                  <m:rPr>
                    <m:sty m:val="p"/>
                  </m:rPr>
                  <m:t>4</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sSub>
              <m:e>
                <m:r>
                  <m:rPr>
                    <m:sty m:val="i"/>
                  </m:rPr>
                  <m:t>N</m:t>
                </m:r>
              </m:e>
              <m:sub>
                <m:box>
                  <m:e>
                    <m:r>
                      <m:rPr>
                        <m:sty m:val="i"/>
                      </m:rPr>
                      <m:t>a</m:t>
                    </m:r>
                    <m:r>
                      <m:rPr>
                        <m:sty m:val="i"/>
                      </m:rPr>
                      <m:t>p</m:t>
                    </m:r>
                    <m:r>
                      <m:rPr>
                        <m:sty m:val="i"/>
                      </m:rPr>
                      <m:t>l</m:t>
                    </m:r>
                    <m:r>
                      <m:rPr>
                        <m:sty m:val="i"/>
                      </m:rPr>
                      <m:t>i</m:t>
                    </m:r>
                    <m:r>
                      <m:rPr>
                        <m:sty m:val="i"/>
                      </m:rPr>
                      <m:t>c</m:t>
                    </m:r>
                    <m:r>
                      <m:rPr>
                        <m:sty m:val="i"/>
                      </m:rPr>
                      <m:t>a</m:t>
                    </m:r>
                    <m:r>
                      <m:rPr>
                        <m:sty m:val="i"/>
                      </m:rPr>
                      <m:t>d</m:t>
                    </m:r>
                    <m:r>
                      <m:rPr>
                        <m:sty m:val="i"/>
                      </m:rPr>
                      <m:t>o</m:t>
                    </m:r>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Sup>
                      <m:e>
                        <m:r>
                          <m:rPr>
                            <m:sty m:val="i"/>
                          </m:rPr>
                          <m:t>O</m:t>
                        </m:r>
                      </m:e>
                      <m:sub>
                        <m:r>
                          <m:rPr>
                            <m:sty m:val="p"/>
                          </m:rPr>
                          <m:t>3</m:t>
                        </m:r>
                      </m:sub>
                      <m:sup>
                        <m:r>
                          <m:rPr>
                            <m:sty m:val="p"/>
                          </m:rPr>
                          <m:t>−</m:t>
                        </m:r>
                      </m:sup>
                    </m:sSubSup>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f>
              <m:num>
                <m:box>
                  <m:e>
                    <m:r>
                      <m:rPr>
                        <m:sty m:val="p"/>
                      </m:rPr>
                      <m:t>62</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l</m:t>
                    </m:r>
                    <m:r>
                      <m:rPr>
                        <m:sty m:val="i"/>
                      </m:rPr>
                      <m:t>i</m:t>
                    </m:r>
                    <m:r>
                      <m:rPr>
                        <m:sty m:val="i"/>
                      </m:rPr>
                      <m:t>x</m:t>
                    </m:r>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r>
              <m:rPr>
                <m:sty m:val="i"/>
              </m:rPr>
              <m:t>E</m:t>
            </m:r>
            <m:sSub>
              <m:e>
                <m:r>
                  <m:rPr>
                    <m:sty m:val="i"/>
                  </m:rPr>
                  <m:t>F</m:t>
                </m:r>
              </m:e>
              <m:sub>
                <m:r>
                  <m:rPr>
                    <m:sty m:val="p"/>
                  </m:rPr>
                  <m:t>5</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f>
              <m:num>
                <m:box>
                  <m:e>
                    <m:r>
                      <m:rPr>
                        <m:sty m:val="p"/>
                      </m:rPr>
                      <m:t>17</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N</m:t>
                    </m:r>
                    <m:sSub>
                      <m:e>
                        <m:r>
                          <m:rPr>
                            <m:sty m:val="i"/>
                          </m:rPr>
                          <m:t>O</m:t>
                        </m:r>
                      </m:e>
                      <m:sub>
                        <m:r>
                          <m:rPr>
                            <m:sty m:val="i"/>
                          </m:rPr>
                          <m:t>x</m:t>
                        </m:r>
                      </m:sub>
                    </m:sSub>
                  </m:e>
                </m:box>
              </m:sub>
            </m:sSub>
            <m:r>
              <m:rPr>
                <m:sty m:val="p"/>
              </m:rPr>
              <m:t>=</m:t>
            </m:r>
            <m:sSub>
              <m:e>
                <m:r>
                  <m:rPr>
                    <m:sty m:val="i"/>
                  </m:rPr>
                  <m:t>m</m:t>
                </m:r>
              </m:e>
              <m:sub>
                <m:box>
                  <m:e>
                    <m:r>
                      <m:rPr>
                        <m:sty m:val="i"/>
                      </m:rPr>
                      <m:t>N</m:t>
                    </m:r>
                    <m:sSub>
                      <m:e>
                        <m:r>
                          <m:rPr>
                            <m:sty m:val="i"/>
                          </m:rPr>
                          <m:t>O</m:t>
                        </m:r>
                      </m:e>
                      <m:sub>
                        <m:r>
                          <m:rPr>
                            <m:sty m:val="p"/>
                          </m:rPr>
                          <m:t>2</m:t>
                        </m:r>
                      </m:sub>
                    </m:sSub>
                  </m:e>
                </m:box>
              </m:sub>
            </m:sSub>
            <m:r>
              <m:rPr>
                <m:sty m:val="p"/>
              </m:rPr>
              <m:t>×</m:t>
            </m:r>
            <m:f>
              <m:num>
                <m:box>
                  <m:e>
                    <m:r>
                      <m:rPr>
                        <m:sty m:val="p"/>
                      </m:rPr>
                      <m:t>14</m:t>
                    </m:r>
                  </m:e>
                </m:box>
              </m:num>
              <m:den>
                <m:box>
                  <m:e>
                    <m:r>
                      <m:rPr>
                        <m:sty m:val="p"/>
                      </m:rPr>
                      <m:t>46</m:t>
                    </m:r>
                  </m:e>
                </m:box>
              </m:den>
            </m:f>
          </m:e>
        </m:box>
      </m:oMath>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que acciona el cañón VAIA, operado en 540E, los operarios comunicaron una duración aproximada de 30 min por vaciado, no medida instrumentalmente; el consumo de 3 L diésel/h fue un supuesto del estudio. El resultado fue 182,50 L/año en A4 y B2. La tanqueta almacena y el cañón aplica;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aproximación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factor sustitutivo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t</m:t>
                    </m:r>
                    <m:r>
                      <m:rPr>
                        <m:sty m:val="i"/>
                      </m:rPr>
                      <m:t>o</m:t>
                    </m:r>
                    <m:r>
                      <m:rPr>
                        <m:sty m:val="i"/>
                      </m:rPr>
                      <m:t>t</m:t>
                    </m:r>
                    <m:r>
                      <m:rPr>
                        <m:sty m:val="i"/>
                      </m:rPr>
                      <m:t>a</m:t>
                    </m:r>
                    <m:r>
                      <m:rPr>
                        <m:sty m:val="i"/>
                      </m:rPr>
                      <m:t>l</m:t>
                    </m:r>
                  </m:e>
                </m:box>
              </m:sub>
            </m:sSub>
            <m:r>
              <m:rPr>
                <m:sty m:val="p"/>
              </m:rPr>
              <m:t>=</m:t>
            </m:r>
            <m:r>
              <m:rPr>
                <m:sty m:val="i"/>
              </m:rPr>
              <m:t>C</m:t>
            </m:r>
            <m:sSub>
              <m:e>
                <m:r>
                  <m:rPr>
                    <m:sty m:val="i"/>
                  </m:rPr>
                  <m:t>C</m:t>
                </m:r>
              </m:e>
              <m:sub>
                <m:box>
                  <m:e>
                    <m:r>
                      <m:rPr>
                        <m:sty m:val="i"/>
                      </m:rPr>
                      <m:t>m</m:t>
                    </m:r>
                    <m:r>
                      <m:rPr>
                        <m:sty m:val="i"/>
                      </m:rPr>
                      <m:t>a</m:t>
                    </m:r>
                    <m:r>
                      <m:rPr>
                        <m:sty m:val="i"/>
                      </m:rPr>
                      <m:t>n</m:t>
                    </m:r>
                    <m:r>
                      <m:rPr>
                        <m:sty m:val="i"/>
                      </m:rPr>
                      <m:t>e</m:t>
                    </m:r>
                    <m:r>
                      <m:rPr>
                        <m:sty m:val="i"/>
                      </m:rPr>
                      <m:t>j</m:t>
                    </m:r>
                    <m:r>
                      <m:rPr>
                        <m:sty m:val="i"/>
                      </m:rPr>
                      <m:t>o</m:t>
                    </m:r>
                  </m:e>
                </m:box>
              </m:sub>
            </m:sSub>
            <m:r>
              <m:rPr>
                <m:sty m:val="p"/>
              </m:rPr>
              <m:t>+</m:t>
            </m:r>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sSub>
              <m:e>
                <m:r>
                  <m:rPr>
                    <m:sty m:val="i"/>
                  </m:rPr>
                  <m:t>E</m:t>
                </m:r>
              </m:e>
              <m:sub>
                <m:box>
                  <m:e>
                    <m:r>
                      <m:rPr>
                        <m:sty m:val="i"/>
                      </m:rPr>
                      <m:t>k</m:t>
                    </m:r>
                    <m:r>
                      <m:rPr>
                        <m:sty m:val="i"/>
                      </m:rPr>
                      <m:t>W</m:t>
                    </m:r>
                    <m:r>
                      <m:rPr>
                        <m:sty m:val="i"/>
                      </m:rPr>
                      <m:t>h</m:t>
                    </m:r>
                  </m:e>
                </m:box>
              </m:sub>
            </m:sSub>
            <m:r>
              <m:rPr>
                <m:sty m:val="p"/>
              </m:rPr>
              <m:t>×</m:t>
            </m:r>
            <m:r>
              <m:rPr>
                <m:sty m:val="i"/>
              </m:rPr>
              <m:t>F</m:t>
            </m:r>
            <m:sSub>
              <m:e>
                <m:r>
                  <m:rPr>
                    <m:sty m:val="i"/>
                  </m:rPr>
                  <m:t>E</m:t>
                </m:r>
              </m:e>
              <m:sub>
                <m:box>
                  <m:e>
                    <m:r>
                      <m:rPr>
                        <m:sty m:val="i"/>
                      </m:rPr>
                      <m:t>I</m:t>
                    </m:r>
                    <m:r>
                      <m:rPr>
                        <m:sty m:val="i"/>
                      </m:rPr>
                      <m:t>M</m:t>
                    </m:r>
                    <m:r>
                      <m:rPr>
                        <m:sty m:val="i"/>
                      </m:rPr>
                      <m:t>N</m:t>
                    </m:r>
                    <m:r>
                      <m:rPr>
                        <m:sty m:val="p"/>
                      </m:rPr>
                      <m:t>,</m:t>
                    </m:r>
                    <m:r>
                      <m:rPr>
                        <m:sty m:val="i"/>
                      </m:rPr>
                      <m:t>c</m:t>
                    </m:r>
                    <m:r>
                      <m:rPr>
                        <m:sty m:val="i"/>
                      </m:rPr>
                      <m:t>o</m:t>
                    </m:r>
                    <m:r>
                      <m:rPr>
                        <m:sty m:val="i"/>
                      </m:rPr>
                      <m:t>n</m:t>
                    </m:r>
                    <m:r>
                      <m:rPr>
                        <m:sty m:val="i"/>
                      </m:rPr>
                      <m:t>s</m:t>
                    </m:r>
                    <m:r>
                      <m:rPr>
                        <m:sty m:val="i"/>
                      </m:rPr>
                      <m:t>u</m:t>
                    </m:r>
                    <m:r>
                      <m:rPr>
                        <m:sty m:val="i"/>
                      </m:rPr>
                      <m:t>m</m:t>
                    </m:r>
                    <m:r>
                      <m:rPr>
                        <m:sty m:val="i"/>
                      </m:rPr>
                      <m:t>o</m:t>
                    </m:r>
                    <m:r>
                      <m:rPr>
                        <m:sty m:val="p"/>
                      </m:rPr>
                      <m:t>,</m:t>
                    </m:r>
                    <m:r>
                      <m:rPr>
                        <m:sty m:val="p"/>
                      </m:rPr>
                      <m:t>2025</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r>
              <m:rPr>
                <m:sty m:val="p"/>
              </m:rPr>
              <m:t>=</m:t>
            </m:r>
            <m:sSub>
              <m:e>
                <m:r>
                  <m:rPr>
                    <m:sty m:val="i"/>
                  </m:rPr>
                  <m:t>m</m:t>
                </m:r>
              </m:e>
              <m:sub>
                <m:box>
                  <m:e>
                    <m:r>
                      <m:rPr>
                        <m:sty m:val="i"/>
                      </m:rPr>
                      <m:t>C</m:t>
                    </m:r>
                    <m:sSub>
                      <m:e>
                        <m:r>
                          <m:rPr>
                            <m:sty m:val="i"/>
                          </m:rPr>
                          <m:t>O</m:t>
                        </m:r>
                      </m:e>
                      <m:sub>
                        <m:r>
                          <m:rPr>
                            <m:sty m:val="p"/>
                          </m:rPr>
                          <m:t>2</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1</m:t>
            </m:r>
            <m:r>
              <m:rPr>
                <m:sty m:val="p"/>
              </m:rPr>
              <m:t>+</m:t>
            </m:r>
            <m:sSub>
              <m:e>
                <m:r>
                  <m:rPr>
                    <m:sty m:val="i"/>
                  </m:rPr>
                  <m:t>m</m:t>
                </m:r>
              </m:e>
              <m:sub>
                <m:box>
                  <m:e>
                    <m:r>
                      <m:rPr>
                        <m:sty m:val="i"/>
                      </m:rPr>
                      <m:t>C</m:t>
                    </m:r>
                    <m:sSub>
                      <m:e>
                        <m:r>
                          <m:rPr>
                            <m:sty m:val="i"/>
                          </m:rPr>
                          <m:t>H</m:t>
                        </m:r>
                      </m:e>
                      <m:sub>
                        <m:r>
                          <m:rPr>
                            <m:sty m:val="p"/>
                          </m:rPr>
                          <m:t>4</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29</m:t>
            </m:r>
            <m:box>
              <m:e>
                <m:r>
                  <m:rPr>
                    <m:sty m:val="p"/>
                  </m:rPr>
                  <m:t>,</m:t>
                </m:r>
              </m:e>
            </m:box>
            <m:r>
              <m:rPr>
                <m:sty m:val="p"/>
              </m:rPr>
              <m:t>8</m:t>
            </m:r>
            <m:r>
              <m:rPr>
                <m:sty m:val="p"/>
              </m:rPr>
              <m:t>+</m:t>
            </m:r>
            <m:sSub>
              <m:e>
                <m:r>
                  <m:rPr>
                    <m:sty m:val="i"/>
                  </m:rPr>
                  <m:t>m</m:t>
                </m:r>
              </m:e>
              <m:sub>
                <m:box>
                  <m:e>
                    <m:sSub>
                      <m:e>
                        <m:r>
                          <m:rPr>
                            <m:sty m:val="i"/>
                          </m:rPr>
                          <m:t>N</m:t>
                        </m:r>
                      </m:e>
                      <m:sub>
                        <m:r>
                          <m:rPr>
                            <m:sty m:val="p"/>
                          </m:rPr>
                          <m:t>2</m:t>
                        </m:r>
                      </m:sub>
                    </m:sSub>
                    <m:r>
                      <m:rPr>
                        <m:sty m:val="i"/>
                      </m:rPr>
                      <m:t>O</m:t>
                    </m:r>
                    <m:r>
                      <m:rPr>
                        <m:sty m:val="p"/>
                      </m:rPr>
                      <m:t>,</m:t>
                    </m:r>
                    <m:r>
                      <m:rPr>
                        <m:sty m:val="i"/>
                      </m:rPr>
                      <m:t>c</m:t>
                    </m:r>
                    <m:r>
                      <m:rPr>
                        <m:sty m:val="i"/>
                      </m:rPr>
                      <m:t>o</m:t>
                    </m:r>
                    <m:r>
                      <m:rPr>
                        <m:sty m:val="i"/>
                      </m:rPr>
                      <m:t>m</m:t>
                    </m:r>
                    <m:r>
                      <m:rPr>
                        <m:sty m:val="i"/>
                      </m:rPr>
                      <m:t>b</m:t>
                    </m:r>
                    <m:r>
                      <m:rPr>
                        <m:sty m:val="i"/>
                      </m:rPr>
                      <m:t>u</m:t>
                    </m:r>
                    <m:r>
                      <m:rPr>
                        <m:sty m:val="i"/>
                      </m:rPr>
                      <m:t>s</m:t>
                    </m:r>
                    <m:r>
                      <m:rPr>
                        <m:sty m:val="i"/>
                      </m:rPr>
                      <m:t>t</m:t>
                    </m:r>
                    <m:r>
                      <m:rPr>
                        <m:sty m:val="i"/>
                      </m:rPr>
                      <m:t>i</m:t>
                    </m:r>
                    <m:r>
                      <m:rPr>
                        <m:sty m:val="i"/>
                      </m:rPr>
                      <m:t>o</m:t>
                    </m:r>
                    <m:r>
                      <m:rPr>
                        <m:sty m:val="i"/>
                      </m:rPr>
                      <m:t>n</m:t>
                    </m:r>
                  </m:e>
                </m:box>
              </m:sub>
            </m:sSub>
            <m:r>
              <m:rPr>
                <m:sty m:val="p"/>
              </m:rPr>
              <m:t>×</m:t>
            </m:r>
            <m:r>
              <m:rPr>
                <m:sty m:val="p"/>
              </m:rPr>
              <m:t>273</m:t>
            </m:r>
          </m:e>
        </m:box>
      </m:oMath>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referencia bibliográfica de contraste y no como una segunda metodología de cálculo, un modelo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f</m:t>
                </m:r>
              </m:e>
              <m:sub>
                <m:box>
                  <m:e>
                    <m:box>
                      <m:e>
                        <m:r>
                          <m:rPr>
                            <m:sty m:val="p"/>
                          </m:rPr>
                          <m:t>M</m:t>
                        </m:r>
                        <m:r>
                          <m:rPr>
                            <m:sty m:val="p"/>
                          </m:rPr>
                          <m:t>S</m:t>
                        </m:r>
                        <m:r>
                          <m:rPr>
                            <m:sty m:val="p"/>
                          </m:rPr>
                          <m:t>,</m:t>
                        </m:r>
                        <m:r>
                          <m:rPr>
                            <m:sty m:val="p"/>
                          </m:rPr>
                          <m:t>A</m:t>
                        </m:r>
                        <m:r>
                          <m:rPr>
                            <m:sty m:val="p"/>
                          </m:rPr>
                          <m:t>2</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r>
                          <m:rPr>
                            <m:sty m:val="p"/>
                          </m:rPr>
                          <m:t>C</m:t>
                        </m:r>
                        <m:sSub>
                          <m:e>
                            <m:r>
                              <m:rPr>
                                <m:sty m:val="p"/>
                              </m:rPr>
                              <m:t>H</m:t>
                            </m:r>
                          </m:e>
                          <m:sub>
                            <m:r>
                              <m:rPr>
                                <m:sty m:val="p"/>
                              </m:rPr>
                              <m:t>4</m:t>
                            </m:r>
                          </m:sub>
                        </m:sSub>
                      </m:e>
                    </m:box>
                  </m:e>
                </m:box>
              </m:sub>
            </m:sSub>
            <m:r>
              <m:rPr>
                <m:sty m:val="p"/>
              </m:rPr>
              <m:t>=</m:t>
            </m:r>
            <m:f>
              <m:num>
                <m:box>
                  <m:e>
                    <m:sSub>
                      <m:e>
                        <m:r>
                          <m:rPr>
                            <m:sty m:val="i"/>
                          </m:rPr>
                          <m:t>m</m:t>
                        </m:r>
                      </m:e>
                      <m:sub>
                        <m:box>
                          <m:e>
                            <m:box>
                              <m:e>
                                <m:r>
                                  <m:rPr>
                                    <m:sty m:val="p"/>
                                  </m:rPr>
                                  <m:t>C</m:t>
                                </m:r>
                                <m:sSub>
                                  <m:e>
                                    <m:r>
                                      <m:rPr>
                                        <m:sty m:val="p"/>
                                      </m:rPr>
                                      <m:t>H</m:t>
                                    </m:r>
                                  </m:e>
                                  <m:sub>
                                    <m:r>
                                      <m:rPr>
                                        <m:sty m:val="p"/>
                                      </m:rPr>
                                      <m:t>4</m:t>
                                    </m:r>
                                  </m:sub>
                                </m:sSub>
                                <m:r>
                                  <m:rPr>
                                    <m:sty m:val="p"/>
                                  </m:rPr>
                                  <m:t>,</m:t>
                                </m:r>
                                <m:r>
                                  <m:rPr>
                                    <m:sty m:val="p"/>
                                  </m:rPr>
                                  <m:t>A</m:t>
                                </m:r>
                                <m:r>
                                  <m:rPr>
                                    <m:sty m:val="p"/>
                                  </m:rPr>
                                  <m:t>2</m:t>
                                </m:r>
                              </m:e>
                            </m:box>
                          </m:e>
                        </m:box>
                      </m:sub>
                    </m:sSub>
                    <m:r>
                      <m:rPr>
                        <m:sty m:val="p"/>
                      </m:rPr>
                      <m:t>×</m:t>
                    </m:r>
                    <m:sSup>
                      <m:e>
                        <m:r>
                          <m:rPr>
                            <m:sty m:val="p"/>
                          </m:rPr>
                          <m:t>10</m:t>
                        </m:r>
                      </m:e>
                      <m:sup>
                        <m:r>
                          <m:rPr>
                            <m:sty m:val="p"/>
                          </m:rPr>
                          <m:t>3</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CH₄ = intensidad de metano, g CH₄/kg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A</m:t>
                                </m:r>
                                <m:r>
                                  <m:rPr>
                                    <m:sty m:val="p"/>
                                  </m:rPr>
                                  <m:t>2</m:t>
                                </m:r>
                              </m:e>
                            </m:box>
                          </m:e>
                        </m:box>
                      </m:sub>
                    </m:sSub>
                    <m:r>
                      <m:rPr>
                        <m:sty m:val="p"/>
                      </m:rPr>
                      <m:t>×</m:t>
                    </m:r>
                    <m:sSup>
                      <m:e>
                        <m:r>
                          <m:rPr>
                            <m:sty m:val="p"/>
                          </m:rPr>
                          <m:t>10</m:t>
                        </m:r>
                      </m:e>
                      <m:sup>
                        <m:r>
                          <m:rPr>
                            <m:sty m:val="p"/>
                          </m:rPr>
                          <m:t>6</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N</m:t>
                        </m:r>
                      </m:e>
                    </m:box>
                  </m:e>
                </m:box>
              </m:sub>
            </m:sSub>
            <m:r>
              <m:rPr>
                <m:sty m:val="p"/>
              </m:rPr>
              <m:t>=</m:t>
            </m:r>
            <m:f>
              <m:num>
                <m:box>
                  <m:e>
                    <m:sSub>
                      <m:e>
                        <m:r>
                          <m:rPr>
                            <m:sty m:val="i"/>
                          </m:rPr>
                          <m:t>m</m:t>
                        </m:r>
                      </m:e>
                      <m:sub>
                        <m:box>
                          <m:e>
                            <m:box>
                              <m:e>
                                <m:sSub>
                                  <m:e>
                                    <m:r>
                                      <m:rPr>
                                        <m:sty m:val="p"/>
                                      </m:rPr>
                                      <m:t>N</m:t>
                                    </m:r>
                                  </m:e>
                                  <m:sub>
                                    <m:r>
                                      <m:rPr>
                                        <m:sty m:val="p"/>
                                      </m:rPr>
                                      <m:t>2</m:t>
                                    </m:r>
                                  </m:sub>
                                </m:sSub>
                                <m:r>
                                  <m:rPr>
                                    <m:sty m:val="p"/>
                                  </m:rPr>
                                  <m:t>O</m:t>
                                </m:r>
                              </m:e>
                            </m:box>
                          </m:e>
                        </m:box>
                      </m:sub>
                    </m:sSub>
                    <m:r>
                      <m:rPr>
                        <m:sty m:val="p"/>
                      </m:rPr>
                      <m:t>×</m:t>
                    </m:r>
                    <m:r>
                      <m:rPr>
                        <m:sty m:val="p"/>
                      </m:rPr>
                      <m:t>(</m:t>
                    </m:r>
                    <m:r>
                      <m:rPr>
                        <m:sty m:val="p"/>
                      </m:rPr>
                      <m:t>28</m:t>
                    </m:r>
                    <m:r>
                      <m:rPr>
                        <m:sty m:val="p"/>
                      </m:rPr>
                      <m:t>/</m:t>
                    </m:r>
                    <m:r>
                      <m:rPr>
                        <m:sty m:val="p"/>
                      </m:rPr>
                      <m:t>44</m:t>
                    </m:r>
                    <m:r>
                      <m:rPr>
                        <m:sty m:val="p"/>
                      </m:rPr>
                      <m:t>)</m:t>
                    </m:r>
                  </m:e>
                </m:box>
              </m:num>
              <m:den>
                <m:box>
                  <m:e>
                    <m:sSub>
                      <m:e>
                        <m:r>
                          <m:rPr>
                            <m:sty m:val="i"/>
                          </m:rPr>
                          <m:t>m</m:t>
                        </m:r>
                      </m:e>
                      <m:sub>
                        <m:box>
                          <m:e>
                            <m:box>
                              <m:e>
                                <m:r>
                                  <m:rPr>
                                    <m:sty m:val="p"/>
                                  </m:rPr>
                                  <m:t>N</m:t>
                                </m:r>
                                <m:r>
                                  <m:rPr>
                                    <m:sty m:val="p"/>
                                  </m:rPr>
                                  <m:t>,</m:t>
                                </m:r>
                                <m:r>
                                  <m:rPr>
                                    <m:sty m:val="p"/>
                                  </m:rPr>
                                  <m:t>i</m:t>
                                </m:r>
                                <m:r>
                                  <m:rPr>
                                    <m:sty m:val="p"/>
                                  </m:rPr>
                                  <m:t>n</m:t>
                                </m:r>
                                <m:r>
                                  <m:rPr>
                                    <m:sty m:val="p"/>
                                  </m:rPr>
                                  <m:t>i</m:t>
                                </m:r>
                                <m:r>
                                  <m:rPr>
                                    <m:sty m:val="p"/>
                                  </m:rPr>
                                  <m:t>c</m:t>
                                </m:r>
                                <m:r>
                                  <m:rPr>
                                    <m:sty m:val="p"/>
                                  </m:rPr>
                                  <m:t>i</m:t>
                                </m:r>
                                <m:r>
                                  <m:rPr>
                                    <m:sty m:val="p"/>
                                  </m:rPr>
                                  <m:t>a</m:t>
                                </m:r>
                                <m:r>
                                  <m:rPr>
                                    <m:sty m:val="p"/>
                                  </m:rPr>
                                  <m:t>l</m:t>
                                </m:r>
                              </m:e>
                            </m:box>
                          </m:e>
                        </m:box>
                      </m:sub>
                    </m:sSub>
                  </m:e>
                </m:box>
              </m:den>
            </m:f>
          </m:e>
        </m:box>
      </m:oMath>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temporal de las jornadas y de las muestras de laboratorio. El intervalo de acumulación previo al muestreo líquido describe la condición concreta de las muestras y no se interpreta como residencia canónica.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la Tabla M3 presenta el diccionario de variables metodológicas, la Tabla M4 conserva la trazabilidad detallada de procedencia y la Tabla M5 desarrolla la trazabilidad metodológica por etapa.</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anual asociada al flujo representado en cada etapa; su composición y significado físico dependen de la etapa. En A4 y B2 incorpora estiércol y agua de lavado para representar la mezcla y el contraste de dilución. No constituye por sí sola una base general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p>
      <w:pPr>
        <w:pStyle w:val="Heading2"/>
      </w:pPr>
      <w:r>
        <w:rPr>
          <w:rFonts w:ascii="Times New Roman" w:hAnsi="Times New Roman"/>
          <w:color w:val="000000"/>
        </w:rPr>
        <w:t>Apéndice interno D. Matriz detallada de procedencia de los datos del inventario</w:t>
      </w:r>
    </w:p>
    <w:p>
      <w:pPr>
        <w:spacing w:line="240" w:lineRule="auto" w:before="0" w:after="0"/>
        <w:ind w:left="100" w:firstLine="719"/>
        <w:jc w:val="both"/>
      </w:pPr>
      <w:r>
        <w:rPr>
          <w:rFonts w:ascii="Times New Roman" w:hAnsi="Times New Roman"/>
          <w:sz w:val="24"/>
        </w:rPr>
        <w:t>La Tabla M4 detalla la procedencia académica y, por separado, el tratamiento aplicado a cada familia de datos utilizada para construir el inventario.</w:t>
      </w:r>
    </w:p>
    <w:p>
      <w:pPr>
        <w:pStyle w:val="Rótuloacadémico"/>
      </w:pPr>
      <w:r>
        <w:rPr>
          <w:rFonts w:ascii="Times New Roman" w:hAnsi="Times New Roman"/>
          <w:b/>
          <w:color w:val="000000"/>
        </w:rPr>
        <w:t>Tabla M4</w:t>
      </w:r>
    </w:p>
    <w:p>
      <w:pPr>
        <w:pStyle w:val="Descripciónacadémica"/>
      </w:pPr>
      <w:r>
        <w:rPr>
          <w:rFonts w:ascii="Times New Roman" w:hAnsi="Times New Roman"/>
          <w:i/>
          <w:color w:val="000000"/>
        </w:rPr>
        <w:t>Matriz detallada de procedencia y tratamiento de los datos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Laboratorio de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y frecuencias habituales comunicados para la operación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Comunicación presencial con informante clave basada en consulta al personal operativo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Comunicado como estimación operativa aproximada;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Saúl Brenes Gamboa, administrador de la lechería; registro retrospectivo respaldado por la visita de campo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el Laboratorio de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pStyle w:val="Heading2"/>
      </w:pPr>
      <w:r>
        <w:rPr>
          <w:rFonts w:ascii="Times New Roman" w:hAnsi="Times New Roman"/>
          <w:color w:val="000000"/>
        </w:rPr>
        <w:t>Apéndice interno E. Matriz detallada de trazabilidad metodológica por etapa A1–B2</w:t>
      </w:r>
    </w:p>
    <w:p>
      <w:pPr>
        <w:spacing w:line="240" w:lineRule="auto" w:before="0" w:after="0"/>
        <w:ind w:left="100" w:firstLine="719"/>
        <w:jc w:val="both"/>
      </w:pPr>
      <w:r>
        <w:rPr>
          <w:rFonts w:ascii="Times New Roman" w:hAnsi="Times New Roman"/>
          <w:sz w:val="24"/>
        </w:rPr>
        <w:t>La Tabla M5 permite seguir cada etapa desde el fenómeno y el dato de actividad hasta la relación de cálculo, la fuente metodológica y el uso posterior. Las filas de caracterización se mantienen separadas de las filas que generan emisiones o consumos.</w:t>
      </w:r>
    </w:p>
    <w:p>
      <w:pPr>
        <w:pStyle w:val="Rótuloacadémico"/>
      </w:pPr>
      <w:r>
        <w:rPr>
          <w:rFonts w:ascii="Times New Roman" w:hAnsi="Times New Roman"/>
          <w:b/>
          <w:color w:val="000000"/>
        </w:rPr>
        <w:t>Tabla M5</w:t>
      </w:r>
    </w:p>
    <w:p>
      <w:pPr>
        <w:pStyle w:val="Descripciónacadémica"/>
      </w:pPr>
      <w:r>
        <w:rPr>
          <w:rFonts w:ascii="Times New Roman" w:hAnsi="Times New Roman"/>
          <w:i/>
          <w:color w:val="000000"/>
        </w:rPr>
        <w:t>Matriz detallada de trazabilidad metodológica por etapa A1–B2.</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