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En el Escenario A, 66,69 % del estiércol depositado se recolectó y entró primero a A1: Precomposteo; la masa resultante de esa transformación continuó posteriormente hacia A2: Lombricompostaje. El 33,31 % restante permaneció adherido al piso, se incorporó a las aguas verdes y fue representado en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En el Escenario B no se efectuó esa separación: el 100 % del estiércol teóricamente depositado, equivalente a 26 278,725181 kg/año, ingresó a B1: Almacenamiento de purines. En B2: Aplicación de purines en campo de pastoreo se integraron el agua de lavado y el total de estiércol depositado.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usado en A2, el CIA determinó N por Dumas después de secar la muestra a 80 °C durante 48 h. Este secado fue una preparación analítica distinta de la determinación gravimétrica de materia seca del TFG a 105 °C. El porcentaje integrado de N se interpretó como concentración del material preparado/seco y se convirtió a la base húmeda de la masa de actividad mediante la fracción gravimétrica de materia seca. No se reconstruyeron ni corrigieron posibles pérdidas de N ocurridas durante la preparación CIA.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efectiva de N,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Para ambas etapas se utilizó un MCF de 38 % como aproximación conservadora para clima tropical húmedo, EF3 igual a cero y ausencia de lixiviación sistemática. La mineralización previa del 10 % del N orgánico se mantuvo como aproximación EMEP por defecto, sin escalado lineal por la residencia aproximada de tres días; su representatividad temporal constituye una incertidumbre explícita.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pools correspondientes de B1. Ambas etapas representan aplicación al suelo de estiércol líquido previamente manejado y no deposición directa por animales durante pastoreo. Las mediciones intermedias se conservaron como benchmarks experimentales, sin reinicializar el ledger.</w:t>
      </w:r>
    </w:p>
    <w:p>
      <w:pPr>
        <w:spacing w:line="240" w:lineRule="auto" w:before="0" w:after="0"/>
        <w:ind w:left="100" w:firstLine="719"/>
        <w:jc w:val="both"/>
      </w:pPr>
      <w:r>
        <w:rPr>
          <w:rFonts w:ascii="Times New Roman" w:hAnsi="Times New Roman"/>
          <w:sz w:val="24"/>
        </w:rPr>
        <w:t>A2: Lombricompostaje utilizó las ecuaciones IPCC de manejo del estiércol y los factores genéricos de la categoría Composting – Passive Windrow, excepto la fracción de lixiviación, cuyo valor efectivo de cero se incorporó como parámetro específico del sistema estudiado. Las emisiones de las etapas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En A2 se conservaron los factores de metano, N₂O directo y volatilización de la categoría Composting – Passive Windrow; únicamente la fracción de lixiviación se sustituyó mediante el parámetro específico descrito anteriormente.</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ledger secuencial en kg N/año. El N total constituye el pool físico principal y el nitrógeno amoniacal total (TAN) un subpool,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12,8 g NH₃ por Mg de residuo orgánico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benchmark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TAN_{fresco} = 0{,}60 \times N_{total,fresco}</w:t>
      </w:r>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ind w:left="0" w:firstLine="0"/>
        <w:jc w:val="center"/>
      </w:pPr>
      <w:r>
        <w:rPr>
          <w:rFonts w:ascii="Cambria Math" w:hAnsi="Cambria Math"/>
          <w:sz w:val="24"/>
        </w:rPr>
        <w:t>N_{precursor,vol} = N_{NH_3} + N_{NO_x}</w:t>
      </w:r>
    </w:p>
    <w:p>
      <w:pPr>
        <w:ind w:left="0" w:firstLine="0"/>
        <w:jc w:val="center"/>
      </w:pPr>
      <w:r>
        <w:rPr>
          <w:rFonts w:ascii="Cambria Math" w:hAnsi="Cambria Math"/>
          <w:sz w:val="24"/>
        </w:rPr>
        <w:t>N_{N_2O,ind,vol} = N_{precursor,vol} \times EF_4</w:t>
      </w:r>
    </w:p>
    <w:p>
      <w:pPr>
        <w:ind w:left="0" w:firstLine="0"/>
        <w:jc w:val="center"/>
      </w:pPr>
      <w:r>
        <w:rPr>
          <w:rFonts w:ascii="Cambria Math" w:hAnsi="Cambria Math"/>
          <w:sz w:val="24"/>
        </w:rPr>
        <w:t>N_{lix,esc} = N_{aplicado} \times FracLEACH</w:t>
      </w:r>
    </w:p>
    <w:p>
      <w:pPr>
        <w:ind w:left="0" w:firstLine="0"/>
        <w:jc w:val="center"/>
      </w:pPr>
      <w:r>
        <w:rPr>
          <w:rFonts w:ascii="Cambria Math" w:hAnsi="Cambria Math"/>
          <w:sz w:val="24"/>
        </w:rPr>
        <w:t>m_{NO_3^-} = N_{lix,esc} \times \frac{62}{14}</w:t>
      </w:r>
    </w:p>
    <w:p>
      <w:pPr>
        <w:ind w:left="0" w:firstLine="0"/>
        <w:jc w:val="center"/>
      </w:pPr>
      <w:r>
        <w:rPr>
          <w:rFonts w:ascii="Cambria Math" w:hAnsi="Cambria Math"/>
          <w:sz w:val="24"/>
        </w:rPr>
        <w:t>N_{N_2O,ind,lix} = N_{lix,esc} \times EF_5</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N_{NO_x} = m_{NO_2} \times \frac{14}{46}</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Para la categoría de calentamiento global se emplearon los potenciales reportados por el IMN (2021), expresados en kg CO₂-eq/kg de sustancia emitida. Para la categoría de eutrofización se utilizaron factores expresados en kg PO₄-eq/kg, con base en Ecobilan (1999, como se citó en Vallejo, 2004).</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 efectiva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o kg PO₄-eq/año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