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distingue entre el nitrógeno total reportado en porcentaje y la fracción másica efectiva empleada en las ecuaciones. Para A2, esta fracción expresa el N del precompostado sobre masa húmeda e incorpora la materia seca gravimétrica; las demás etapas conservan su tratamiento analítico vigente.</w:t>
      </w:r>
    </w:p>
    <w:p>
      <w:pPr>
        <w:spacing w:line="240" w:lineRule="auto" w:before="0" w:after="0"/>
        <w:ind w:left="100" w:firstLine="719"/>
        <w:jc w:val="both"/>
      </w:pPr>
      <w:r>
        <w:rPr>
          <w:rFonts w:ascii="Times New Roman" w:hAnsi="Times New Roman"/>
          <w:sz w:val="24"/>
        </w:rPr>
        <w:t>A2: Lombricompostaje se calculó con ecuaciones IPCC y la categoría Composting – Passive Windrow. La fracción de lixiviación se estableció en cero como parámetro específico del sistema estudiado,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Los restantes factores de A2 —MCF, EF3 y fracción volatilizada— corresponden a la categoría IPCC seleccionada.</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74,37 kg CH₄/año, 2,49 kg N₂O/año, 44,55 kg NH₃/año, 44,25 kg NO₃⁻/año y 0 kg CO₂/año. El Escenario B presentó 185 kg CH₄/año, 2,85 kg N₂O/año, 69,91 kg NH₃/año, 121,26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B2: Aplicación de purines en campo de pastoreo presentó la mayor emisión de N₂O. A2: Lombricompostaje fue estimada mediante las vías IPCC de manejo de estiércol.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84,61 % del calentamiento global del Escenario B, con 4 033,520446 kg CO₂-eq/año. En el Escenario A, A3: Almacenamiento de aguas verdes aportó 57,58 % del total de esta categoría.</w:t>
      </w:r>
    </w:p>
    <w:p>
      <w:pPr>
        <w:spacing w:line="240" w:lineRule="auto" w:before="0" w:after="0"/>
        <w:ind w:left="100" w:firstLine="719"/>
        <w:jc w:val="both"/>
      </w:pPr>
      <w:r>
        <w:rPr>
          <w:rFonts w:ascii="Times New Roman" w:hAnsi="Times New Roman"/>
          <w:sz w:val="24"/>
        </w:rPr>
        <w:t>Para eutrofización, B2: Aplicación de purines en campo de pastoreo presentó la mayor contribución del Escenario B, con 74,28 % de su total; en el Escenario A, A4: Aplicación de aguas verdes en campos de pastoreo concentró 44,98 %. La Tabla 5 resume los impactos por etapa; la Figura 5 presenta calentamiento global y la Figura 6 presenta eutrofización.</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fue nula. No obstante, bajo el supuesto de especiación adoptado, el conjunto de N potencialmente eutrofizante se distribuyó en partes iguales como N asociado a NH₃ y a NO₃⁻. Por ello, los 0 kg NO₃⁻/año registrados para B1 representan NO₃⁻ equivalente derivado de esa asignación y no evidencia de lixiviación física directa.</w:t>
      </w:r>
    </w:p>
    <w:p>
      <w:pPr>
        <w:spacing w:line="240" w:lineRule="auto" w:before="0" w:after="0"/>
        <w:ind w:left="100" w:firstLine="719"/>
        <w:jc w:val="both"/>
      </w:pPr>
      <w:r>
        <w:rPr>
          <w:rFonts w:ascii="Times New Roman" w:hAnsi="Times New Roman"/>
          <w:sz w:val="24"/>
        </w:rPr>
        <w:t>Los factores de caracterización para calentamiento global se referencian al IMN (2021), mientras que los factores de eutrofización se basan en Ecobilan (1999, como se citó en Vallejo, 2004).</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518,86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7,78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226,76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1 343,59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8,9</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4 033,52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9,26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733,75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26,73</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Potencial de calentamiento global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lentamiento_global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Potencial de eutrofización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2 333,632194 kg CO₂-eq/año para calentamiento global y 19,796417 kg PO₄-eq/año para eutrofización. El Escenario B alcanzó 4 767,272734 kg CO₂-eq/año y 35,988445 kg PO₄-eq/año, respectivamente.</w:t>
      </w:r>
    </w:p>
    <w:p>
      <w:pPr>
        <w:spacing w:line="240" w:lineRule="auto" w:before="0" w:after="0"/>
        <w:ind w:left="100" w:firstLine="719"/>
        <w:jc w:val="both"/>
      </w:pPr>
      <w:r>
        <w:rPr>
          <w:rFonts w:ascii="Times New Roman" w:hAnsi="Times New Roman"/>
          <w:sz w:val="24"/>
        </w:rPr>
        <w:t>Respecto a la unidad funcional, los indicadores del Escenario A fueron 0,088803097 kg CO₂-eq/kg de estiércol fresco y 0,000753325 kg PO₄-eq/kg de estiércol fresco. Para el Escenario B fueron 0,181411872 kg CO₂-eq/kg y 0,00136949 kg PO₄-eq/kg de estiércol fresco.</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PO₄-eq/kg de estiércol fresco)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2 333,632194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19,796417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0,088803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0,000753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4 767,272734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35,988445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0,181412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0,001369</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2 433,64054 kg CO₂-eq/año, equivalente a 104,29 % respecto al Escenario A.</w:t>
      </w:r>
    </w:p>
    <w:p>
      <w:pPr>
        <w:spacing w:line="240" w:lineRule="auto" w:before="0" w:after="0"/>
        <w:ind w:left="100" w:firstLine="719"/>
        <w:jc w:val="both"/>
      </w:pPr>
      <w:r>
        <w:rPr>
          <w:rFonts w:ascii="Times New Roman" w:hAnsi="Times New Roman"/>
          <w:sz w:val="24"/>
        </w:rPr>
        <w:t>En eutrofización, el Escenario B presentó el mayor impacto y el Escenario A el menor. La diferencia B menos A fue de 16,192028 kg PO₄-eq/año, equivalente a 81,79 % respecto al Escenario A. La Tabla 7 resume la comparación y la Figura 7 presenta la diferencia porcentual por categoría de impacto.</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2 333,632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2 433,641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104,29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19,796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35,988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16,192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81,79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92512"/>
            <wp:docPr id="7" name="Picture 7"/>
            <wp:cNvGraphicFramePr>
              <a:graphicFrameLocks noChangeAspect="1"/>
            </wp:cNvGraphicFramePr>
            <a:graphic>
              <a:graphicData uri="http://schemas.openxmlformats.org/drawingml/2006/picture">
                <pic:pic>
                  <pic:nvPicPr>
                    <pic:cNvPr id="0" name="fig_15_comparacion_diferencia_porcentual.png"/>
                    <pic:cNvPicPr/>
                  </pic:nvPicPr>
                  <pic:blipFill>
                    <a:blip r:embed="rId16"/>
                    <a:stretch>
                      <a:fillRect/>
                    </a:stretch>
                  </pic:blipFill>
                  <pic:spPr>
                    <a:xfrm>
                      <a:off x="0" y="0"/>
                      <a:ext cx="5669280" cy="4092512"/>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sin sustituir las ecuaciones IPCC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268,035955 mg N₂O/kg de materia seca y la referencia experimental fue 39,43 mg N₂O/kg de materia seca. La razón fue 6,797767.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0,00681138 kg N₂O-N/kg N para IPCC y 0,00174249 kg N₂O-N/kg N para la referencia experimental; la razón fue 3,908999.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0,14642683 kg CO₂-eq/kg de materia seca para IPCC y 0,1718233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modelada mediante las ecuaciones IPCC y la categoría disponible Composting – Passive Windrow,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579,78</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0,146427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0,171823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-0,025396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0,852194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-14,78</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1,7899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0,6622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0,1577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ruta hidrica de manejo y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1,0757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durante aplicacion al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Oxidos de nitrogeno reportados como NO2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4,5634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por lixiviacion o escorrentia desde suelo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8,1166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170,4485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1,1239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348,4072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7,4084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3,8599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0,3667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97,2596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0,4178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129,5053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61,6233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1 294,0893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8,8106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3,0837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0,7884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244,418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14,4774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5,0671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40,3916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3,8372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3 884,9068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0,4794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148,6136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26,4497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9,2574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2,3669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733,7523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43,4617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15,2116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11,5194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2 333,6322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19,7964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4 767,2727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35,9884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2 333,6322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4 767,2727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2 433,6405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104,2855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19,7964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35,9884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16,192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81,7927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potencial total de calentamiento global entre escenarios.</w:t>
      </w:r>
    </w:p>
    <w:p>
      <w:pPr>
        <w:ind w:left="0" w:firstLine="0"/>
        <w:jc w:val="center"/>
      </w:pPr>
      <w:r>
        <w:drawing>
          <wp:inline xmlns:a="http://schemas.openxmlformats.org/drawingml/2006/main" xmlns:pic="http://schemas.openxmlformats.org/drawingml/2006/picture">
            <wp:extent cx="5669280" cy="4079873"/>
            <wp:docPr id="14" name="Picture 14"/>
            <wp:cNvGraphicFramePr>
              <a:graphicFrameLocks noChangeAspect="1"/>
            </wp:cNvGraphicFramePr>
            <a:graphic>
              <a:graphicData uri="http://schemas.openxmlformats.org/drawingml/2006/picture">
                <pic:pic>
                  <pic:nvPicPr>
                    <pic:cNvPr id="0" name="fig_13_comparacion_total_calentamiento_global.png"/>
                    <pic:cNvPicPr/>
                  </pic:nvPicPr>
                  <pic:blipFill>
                    <a:blip r:embed="rId23"/>
                    <a:stretch>
                      <a:fillRect/>
                    </a:stretch>
                  </pic:blipFill>
                  <pic:spPr>
                    <a:xfrm>
                      <a:off x="0" y="0"/>
                      <a:ext cx="5669280" cy="4079873"/>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del potencial total de eutrofización entre escenarios.</w:t>
      </w:r>
    </w:p>
    <w:p>
      <w:pPr>
        <w:ind w:left="0" w:firstLine="0"/>
        <w:jc w:val="center"/>
      </w:pPr>
      <w:r>
        <w:drawing>
          <wp:inline xmlns:a="http://schemas.openxmlformats.org/drawingml/2006/main" xmlns:pic="http://schemas.openxmlformats.org/drawingml/2006/picture">
            <wp:extent cx="5669280" cy="4083653"/>
            <wp:docPr id="15" name="Picture 15"/>
            <wp:cNvGraphicFramePr>
              <a:graphicFrameLocks noChangeAspect="1"/>
            </wp:cNvGraphicFramePr>
            <a:graphic>
              <a:graphicData uri="http://schemas.openxmlformats.org/drawingml/2006/picture">
                <pic:pic>
                  <pic:nvPicPr>
                    <pic:cNvPr id="0" name="fig_14_comparacion_total_eutrofizacion.png"/>
                    <pic:cNvPicPr/>
                  </pic:nvPicPr>
                  <pic:blipFill>
                    <a:blip r:embed="rId24"/>
                    <a:stretch>
                      <a:fillRect/>
                    </a:stretch>
                  </pic:blipFill>
                  <pic:spPr>
                    <a:xfrm>
                      <a:off x="0" y="0"/>
                      <a:ext cx="5669280" cy="4083653"/>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