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 Estas determinaciones gravimétricas fueron realizadas por Bioenergía a 105 °C durante 16 h y son independientes del acondicionamiento aplicado por el CIA para el análisis elemental.</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el benchmark experimental de A2. El acondicionamiento CIA no se utilizó para reconstruir húmedad ni se corrigieron posibles pérdidas de N durante esa preparación.</w:t>
      </w:r>
    </w:p>
    <w:p>
      <w:pPr>
        <w:spacing w:line="240" w:lineRule="auto" w:before="0" w:after="0"/>
        <w:ind w:left="100" w:firstLine="719"/>
        <w:jc w:val="both"/>
      </w:pPr>
      <w:r>
        <w:rPr>
          <w:rFonts w:ascii="Times New Roman" w:hAnsi="Times New Roman"/>
          <w:sz w:val="24"/>
        </w:rPr>
        <w:t>El benchmark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de N del benchmark experimental,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ind w:left="0" w:firstLine="0"/>
        <w:jc w:val="center"/>
      </w:pPr>
      <w:r>
        <w:rPr>
          <w:rFonts w:ascii="Cambria Math" w:hAnsi="Cambria Math"/>
          <w:sz w:val="24"/>
        </w:rPr>
        <w:t>R_{j}=\frac{f_{\mathrm{MS,fresco},j}\,f_{\mathrm{cenizas,fresco},j}}{f_{\mathrm{MS,precompostado},j}\,f_{\mathrm{cenizas,precompostado},j}};\quad \widehat m_{\mathrm{húmeda,A2}}=m_{\mathrm{húmeda,A1}}\,\overline R</w:t>
      </w:r>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húmedad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proxy IPCC conservador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del proxy son conceptos distintos.</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proxy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proxy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ind w:left="0" w:firstLine="0"/>
        <w:jc w:val="center"/>
      </w:pPr>
      <w:r>
        <w:rPr>
          <w:rFonts w:ascii="Cambria Math" w:hAnsi="Cambria Math"/>
          <w:sz w:val="24"/>
        </w:rPr>
        <w:t>CC_{total}=CC_{manejo}+CC_{electricidad}+CC_{diesel}</w:t>
      </w:r>
    </w:p>
    <w:p>
      <w:pPr>
        <w:ind w:left="0" w:firstLine="0"/>
        <w:jc w:val="center"/>
      </w:pPr>
      <w:r>
        <w:rPr>
          <w:rFonts w:ascii="Cambria Math" w:hAnsi="Cambria Math"/>
          <w:sz w:val="24"/>
        </w:rPr>
        <w:t>CC_{electricidad}=E_{kWh} \times FE_{IMN,consumo,2025}</w:t>
      </w:r>
    </w:p>
    <w:p>
      <w:pPr>
        <w:ind w:left="0" w:firstLine="0"/>
        <w:jc w:val="center"/>
      </w:pPr>
      <w:r>
        <w:rPr>
          <w:rFonts w:ascii="Cambria Math" w:hAnsi="Cambria Math"/>
          <w:sz w:val="24"/>
        </w:rPr>
        <w:t>CC_{diesel}=m_{CO_2,fosil} \times 1 + m_{CH_4,fosil} \times 29{,}8 + m_{N_2O,combustion} \times 273</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