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Resultados provisionales basados exclusivamente en las dos primeras campañas experimentales. La tercera campaña cuenta con trabajo experimental realizado y evidencia parcial, aún no validada para su integración.</w:t>
      </w:r>
    </w:p>
    <w:p>
      <w:pPr>
        <w:pStyle w:val="Portadacentrada"/>
        <w:keepNext/>
        <w:spacing w:before="40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presenta resultados, discusión y conclusiones provisionales basados en la primera y la segunda campañas experimentales, designadas M1 y M2, respectivamente. La tercera campaña experimental (M3) cuenta con actividades de campo y laboratorio realizadas y evidencia gravimétrica parcial. El paquete analítico requerido todavía no está completo ni validado para su integración en el análisis de ciclo de vida; por ello, M3 no forma parte de los datos, parámetros, ecuaciones ni resultados presentados. Su incorporación futura puede modificar las magnitudes, comparaciones e interpretaciones.</w:t>
      </w:r>
    </w:p>
    <w:p>
      <w:pPr>
        <w:spacing w:line="240" w:lineRule="auto" w:before="0" w:after="0"/>
        <w:ind w:left="100" w:firstLine="719"/>
        <w:jc w:val="both"/>
      </w:pPr>
      <w:r>
        <w:rPr>
          <w:rFonts w:ascii="Times New Roman" w:hAnsi="Times New Roman"/>
          <w:sz w:val="24"/>
        </w:rPr>
        <w:t>El alcance provisional permite interpretar de forma conjunta la caracterización experimental, el inventario del ciclo de vida, las emisiones estimadas y los indicadores de impacto, sin atribuir carácter definitivo a la comparación entre alternativas.</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spacing w:line="240" w:lineRule="auto" w:before="0" w:after="0"/>
        <w:ind w:left="100" w:firstLine="719"/>
        <w:jc w:val="both"/>
      </w:pPr>
      <w:r>
        <w:rPr>
          <w:rFonts w:ascii="Times New Roman" w:hAnsi="Times New Roman"/>
          <w:sz w:val="24"/>
        </w:rPr>
        <w:t>Apéndice E. Balances intermedios y emisiones desagregadas</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 manejo del estiércol en la lechería. El Escenario A representa la operación habitual y comprende A1: Precomposteo, A2: Lombricompostaje, A3: Almacenamiento de aguas verdes y A4: Aplicación de aguas verdes en campos de pastoreo. El Escenario B representa el manejo conjunto de los residuos líquidos y sólidos y comprende B1: Almacenamiento de purines y B2: Aplicación de purines en campo de pastoreo. Los códigos A1–A4 y B1–B2 identifican etapas productivas y no campañas experimentales.</w:t>
      </w:r>
    </w:p>
    <w:p>
      <w:pPr>
        <w:spacing w:line="240" w:lineRule="auto" w:before="0" w:after="0"/>
        <w:ind w:left="100" w:firstLine="719"/>
        <w:jc w:val="both"/>
      </w:pPr>
      <w:r>
        <w:rPr>
          <w:rFonts w:ascii="Times New Roman" w:hAnsi="Times New Roman"/>
          <w:sz w:val="24"/>
        </w:rPr>
        <w:t>La evaluación abarcó cambio climático, eutrofización terrestre y eutrofización marina. La evidencia experimental se organizó por campañas de muestreo: M1 corresponde a la primera campaña y M2 a la segunda; ambas sustentan los resultados provisionales. M3 corresponde a la tercera campaña, con trabajo experimental realizado y evidencia parcial disponible; sus fuentes analíticas todavía no están completas ni validadas para integrarlas al ACV. Por tanto, los resultados actuales corresponden exclusivamente a M1 y 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expresa, en una base común de CO₂ equivalente, la contribución relativa de los gases de efecto invernadero al cambio climático durante el horizonte temporal definido por el método.</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Esta relación se implementó de forma reproducible en Python a partir de la identidad del flujo, el compartimento y la categoría; SimaPro se delimitó como herramienta de verificación independiente y no como fuente sustitutiva del inventario o de los resultados calculados en Python.</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sistema se sustentó en observaciones de campo, consultas operativas presenciales y datos publicados para la misma lechería por Sánchez-Romero y Brenes-Gamboa (2026). Cada parámetro conservó la procedencia correspondiente y no se atribuyeron a la publicación las estimaciones comunicadas o los supuestos del estudio.</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aproximadamente 26 278,7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La duración habitual de A1 fue comunicada como una estimación operativa de aproximadamente 21 días a cerca de un mes; por ello, se representa como tres a cuatro semanas sin tratar 28 días como una medición instrumentada.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 referencia respalda la duración de A2, pero no se utilizó como confirmación inequívoca del tiempo operativo de A1. Las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representa las fronteras y conexiones físicas de las alternativas evaluadas.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keepLines/>
      </w:pPr>
      <w:r>
        <w:rPr>
          <w:rFonts w:ascii="Times New Roman" w:hAnsi="Times New Roman"/>
          <w:b/>
          <w:color w:val="000000"/>
        </w:rPr>
        <w:t>Figura 1</w:t>
      </w:r>
    </w:p>
    <w:p>
      <w:pPr>
        <w:pStyle w:val="Descripciónacadémica"/>
        <w:keepNext/>
        <w:keepLines/>
      </w:pPr>
      <w:r>
        <w:rPr>
          <w:rFonts w:ascii="Times New Roman" w:hAnsi="Times New Roman"/>
          <w:i/>
          <w:color w:val="000000"/>
        </w:rPr>
        <w:t>Fronteras y conexiones físicas de los escenarios evaluados.</w:t>
      </w:r>
    </w:p>
    <w:p>
      <w:pPr>
        <w:keepLines/>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sintetiza la jerarquía de etapas presentada en la introducción y utilizada en todo el manuscrito. En los gráficos por etapa se emplean las claves A1–A4 y B1–B2.</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Figura 2 aporta evidencia visual complementaria de los elementos físicos asociados con las rutas descritas. Las fotografías documentan las unidades observadas y no sustituyen la definición de fronteras ni los registros operativos empleados en el inventario.</w:t>
      </w:r>
    </w:p>
    <w:p>
      <w:pPr>
        <w:pStyle w:val="Rótuloacadémico"/>
        <w:keepNext/>
        <w:keepLines/>
      </w:pPr>
      <w:r>
        <w:rPr>
          <w:rFonts w:ascii="Times New Roman" w:hAnsi="Times New Roman"/>
          <w:b/>
          <w:color w:val="000000"/>
        </w:rPr>
        <w:t>Figura 2</w:t>
      </w:r>
    </w:p>
    <w:p>
      <w:pPr>
        <w:pStyle w:val="Descripciónacadémica"/>
        <w:keepNext/>
        <w:keepLines/>
      </w:pPr>
      <w:r>
        <w:rPr>
          <w:rFonts w:ascii="Times New Roman" w:hAnsi="Times New Roman"/>
          <w:i/>
          <w:color w:val="000000"/>
        </w:rP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pPr>
        <w:keepLines/>
        <w:ind w:left="0" w:firstLine="0"/>
        <w:jc w:val="center"/>
      </w:pPr>
      <w:r>
        <w:drawing>
          <wp:inline xmlns:a="http://schemas.openxmlformats.org/drawingml/2006/main" xmlns:pic="http://schemas.openxmlformats.org/drawingml/2006/picture">
            <wp:extent cx="5486400" cy="4285349"/>
            <wp:docPr id="2" name="Picture 2"/>
            <wp:cNvGraphicFramePr>
              <a:graphicFrameLocks noChangeAspect="1"/>
            </wp:cNvGraphicFramePr>
            <a:graphic>
              <a:graphicData uri="http://schemas.openxmlformats.org/drawingml/2006/picture">
                <pic:pic>
                  <pic:nvPicPr>
                    <pic:cNvPr id="0" name="fig_fotografica_sistema_fisico.jpg"/>
                    <pic:cNvPicPr/>
                  </pic:nvPicPr>
                  <pic:blipFill>
                    <a:blip r:embed="rId11"/>
                    <a:stretch>
                      <a:fillRect/>
                    </a:stretch>
                  </pic:blipFill>
                  <pic:spPr>
                    <a:xfrm>
                      <a:off x="0" y="0"/>
                      <a:ext cx="5486400" cy="4285349"/>
                    </a:xfrm>
                    <a:prstGeom prst="rect"/>
                  </pic:spPr>
                </pic:pic>
              </a:graphicData>
            </a:graphic>
          </wp:inline>
        </w:drawing>
      </w:r>
    </w:p>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En M1, las fotografías de campo y el informe de los Laboratorios de Servicios Analíticos de la Escuela de Química (LASA) documentan el muestreo de estiércol fresco el 10 de noviembre de 2025. LASA recibió esas muestras el 11 de noviembre, realizó el análisis del 13 al 14 de noviembre y emitió el informe el 19 de noviembre. Las fotografías registran trabajo experimental en el Laboratorio de Bioenergía de la Escuela de Ingeniería de Biosistemas de la Universidad de Costa Rica entre el 10 y el 11 de noviembre, sin implicar que todos los materiales se procesaran el mismo día. El Centro de Investigaciones Agronómicas (CIA) recibió el precompostado y las aguas verdes el 10 de noviembre y emitió sus informes el 21 de noviembre; recibió los purines el 17 de noviembre y emitió el informe correspondiente el 28 de noviembre.</w:t>
      </w:r>
    </w:p>
    <w:p>
      <w:pPr>
        <w:spacing w:line="240" w:lineRule="auto" w:before="0" w:after="0"/>
        <w:ind w:left="100" w:firstLine="719"/>
        <w:jc w:val="both"/>
      </w:pPr>
      <w:r>
        <w:rPr>
          <w:rFonts w:ascii="Times New Roman" w:hAnsi="Times New Roman"/>
          <w:sz w:val="24"/>
        </w:rPr>
        <w:t>En M2, las fotografías documentan la preparación de campo el 20 de julio de 2026 y el trabajo en el Laboratorio de Bioenergía el 21 de julio. LASA recibió el estiércol fresco el 23 de julio, realizó el análisis entre el 24 de julio y el 4 de agosto y emitió el informe el 5 de agosto. El CIA recibió el precompostado y las aguas verdes el 23 de julio y emitió sus informes el 30 de julio; recibió los purines el 27 de julio y emitió el informe el 6 de agosto. Las fechas de recepción o emisión no se utilizaron como sustitutos de fechas de muestreo o de análisis cuando estas no constaban expresamente.</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al Laboratorio de Bioenergía y otras dos muestras compuestas físicamente independientes destinadas al laboratorio externo: LASA para estiércol fresco y el Laboratorio de Suelos y Foliares del CIA para precompostado. En M2 se obtuvieron tres muestras compuestas por sólido; de cada una se tomaron tres réplicas para el Laboratorio de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porciones sólidas se pesaron durante el muestreo con una balanza electrónica de campo A&amp;D EJ-610. La fotografía de una pesada representativa no documenta por sí sola las cinco porciones sucesivas que formaron cada muestra compuesta. 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el Laboratorio de Bioenergía y los laboratorios externos se conservó tomando primero las porciones requeridas para la gravimetría y remitiendo después el material remanente de cada muestra compuesta.</w:t>
      </w:r>
    </w:p>
    <w:p>
      <w:pPr>
        <w:spacing w:line="240" w:lineRule="auto" w:before="0" w:after="0"/>
        <w:ind w:left="100" w:firstLine="719"/>
        <w:jc w:val="both"/>
      </w:pPr>
      <w:r>
        <w:rPr>
          <w:rFonts w:ascii="Times New Roman" w:hAnsi="Times New Roman"/>
          <w:sz w:val="24"/>
        </w:rPr>
        <w:t>La Figura 3 relaciona la toma de submuestras sólidas y líquidas con la preparación previa de la tanqueta y con las condiciones de conservación descritas. La evidencia fotográfica complementa el registro experimental y no permite identificar por sí sola si el líquido de la secuencia mostrada correspondía a aguas verdes o purines.</w:t>
      </w:r>
    </w:p>
    <w:p>
      <w:pPr>
        <w:pStyle w:val="Rótuloacadémico"/>
        <w:keepNext/>
        <w:keepLines/>
      </w:pPr>
      <w:r>
        <w:rPr>
          <w:rFonts w:ascii="Times New Roman" w:hAnsi="Times New Roman"/>
          <w:b/>
          <w:color w:val="000000"/>
        </w:rPr>
        <w:t>Figura 3</w:t>
      </w:r>
    </w:p>
    <w:p>
      <w:pPr>
        <w:pStyle w:val="Descripciónacadémica"/>
        <w:keepNext/>
        <w:keepLines/>
      </w:pPr>
      <w:r>
        <w:rPr>
          <w:rFonts w:ascii="Times New Roman" w:hAnsi="Times New Roman"/>
          <w:i/>
          <w:color w:val="000000"/>
        </w:rPr>
        <w:t>Procedimiento de muestreo y conservación de las muestras: (a) pesada representativa de una porción sólida con la balanza electrónica de campo; (b) vaso de precipitados de 150 mL empleado para obtener las alícuotas líquidas; (c) rastrillo utilizado para remover previamente el contenido de la tanqueta; y (d) recipientes y bolsas conservados con hielo dentro de una hielera durante el transporte desde Turrialba hasta la UCR. El panel (a) no muestra las cinco porciones sucesivas de una muestra compuesta.</w:t>
      </w:r>
    </w:p>
    <w:p>
      <w:pPr>
        <w:keepLines/>
        <w:ind w:left="0" w:firstLine="0"/>
        <w:jc w:val="center"/>
      </w:pPr>
      <w:r>
        <w:drawing>
          <wp:inline xmlns:a="http://schemas.openxmlformats.org/drawingml/2006/main" xmlns:pic="http://schemas.openxmlformats.org/drawingml/2006/picture">
            <wp:extent cx="5486400" cy="4285349"/>
            <wp:docPr id="3" name="Picture 3"/>
            <wp:cNvGraphicFramePr>
              <a:graphicFrameLocks noChangeAspect="1"/>
            </wp:cNvGraphicFramePr>
            <a:graphic>
              <a:graphicData uri="http://schemas.openxmlformats.org/drawingml/2006/picture">
                <pic:pic>
                  <pic:nvPicPr>
                    <pic:cNvPr id="0" name="fig_fotografica_muestreo_conservacion.jpg"/>
                    <pic:cNvPicPr/>
                  </pic:nvPicPr>
                  <pic:blipFill>
                    <a:blip r:embed="rId12"/>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4.3.3 Determinaciones en el Laboratorio de Bioenergía</w:t>
      </w:r>
    </w:p>
    <w:p>
      <w:pPr>
        <w:spacing w:line="240" w:lineRule="auto" w:before="0" w:after="0"/>
        <w:ind w:left="100" w:firstLine="719"/>
        <w:jc w:val="both"/>
      </w:pPr>
      <w:r>
        <w:rPr>
          <w:rFonts w:ascii="Times New Roman" w:hAnsi="Times New Roman"/>
          <w:sz w:val="24"/>
        </w:rPr>
        <w:t>El Laboratorio de Bioenergía determinó humedad, materia seca, cenizas y sólidos volátiles en estiércol fresco y precompostado, con tres réplicas analíticas por muestra compuesta. Para humedad y materia seca se colocaron aproximadamente 10 g de muestra fresca por réplica en recipientes limpios, secos y previamente pesados. Mediante balanza analítica se registraron por separado la masa del recipiente vacío y la masa del recipiente con la muestra fresca. Las porciones se secaron en estufa a 105 °C durante 16 h, se enfriaron en desecador y se pesaron nuevamente para obtener la masa seca por diferencia y calcular gravimétricamente la materia seca y la humedad. Estas condiciones experimentales también fueron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determinar cenizas y sólidos volátiles se transfirió aproximadamente 1 g del material seco a un crisol limpio, seco y previamente pesado. Se registraron la masa del crisol vacío y la masa del crisol con la porción seca; luego se incineró la muestra en mufla a 575 °C durante 4 h, se enfrió el crisol en desecador y se realizó la pesada final. La masa de cenizas se obtuvo como la diferencia entre la masa final y la masa del crisol vacío; los sólidos volátiles correspondieron a la fracción de la masa seca perdida durante la incineración. El procedimiento se apoyó en Leitner et al. (2020), sin atribuirle el carácter de norma universal.</w:t>
      </w:r>
    </w:p>
    <w:p>
      <w:pPr>
        <w:spacing w:line="240" w:lineRule="auto" w:before="0" w:after="0"/>
        <w:ind w:left="100" w:firstLine="719"/>
        <w:jc w:val="both"/>
      </w:pPr>
      <w:r>
        <w:rPr>
          <w:rFonts w:ascii="Times New Roman" w:hAnsi="Times New Roman"/>
          <w:sz w:val="24"/>
        </w:rPr>
        <w:t>Entre los equipos utilizados y documentados fotográficamente se encuentran una balanza analítica OHAUS PR Series, un horno de secado cuya carcasa presenta la inscripción OF-22 y una mufla Yamato con la identificación visible F0810CR. La inscripción OF-22 no se interpreta como fabricante ni como confirmación independiente del modelo, y no se infieren números de serie ni exactitudes instrumentales. Las temperaturas y los tiempos experimentales proceden de los registros del procedimiento, no de las pantallas visibles en las fotografías.</w:t>
      </w:r>
    </w:p>
    <w:p>
      <w:pPr>
        <w:spacing w:line="240" w:lineRule="auto" w:before="0" w:after="0"/>
        <w:ind w:left="100" w:firstLine="719"/>
        <w:jc w:val="both"/>
      </w:pPr>
      <w:r>
        <w:rPr>
          <w:rFonts w:ascii="Times New Roman" w:hAnsi="Times New Roman"/>
          <w:sz w:val="24"/>
        </w:rPr>
        <w:t>La Figura 4 presenta los principales equipos utilizados para las pesadas, el secado, la incineración y el enfriamiento en desecador. Las fotografías fueron tomadas en octubre de 2026 como documentación instrumental posterior del procedimiento común; no se atribuyen a M1 o M2 los materiales visibles ni se incorporan resultados de M3.</w:t>
      </w:r>
    </w:p>
    <w:p>
      <w:pPr>
        <w:pStyle w:val="Rótuloacadémico"/>
        <w:keepNext/>
        <w:keepLines/>
        <w:pageBreakBefore/>
      </w:pPr>
      <w:r>
        <w:rPr>
          <w:rFonts w:ascii="Times New Roman" w:hAnsi="Times New Roman"/>
          <w:b/>
          <w:color w:val="000000"/>
        </w:rPr>
        <w:t>Figura 4</w:t>
      </w:r>
    </w:p>
    <w:p>
      <w:pPr>
        <w:pStyle w:val="Descripciónacadémica"/>
        <w:keepNext/>
        <w:keepLines/>
      </w:pPr>
      <w:r>
        <w:rPr>
          <w:rFonts w:ascii="Times New Roman" w:hAnsi="Times New Roman"/>
          <w:i/>
          <w:color w:val="000000"/>
        </w:rPr>
        <w:t>Equipos utilizados en el procedimiento fisicoquímico del Laboratorio de Bioenergía, fotografiados en octubre de 2026 como documentación instrumental posterior: (a) balanza analítica OHAUS PR Series; (b) horno de secado con la inscripción OF-22 en la carcasa; (c) mufla Yamato F0810CR; y (d) crisoles dentro de un desecador cerrado. Las imágenes documentan los equipos y el procedimiento común, pero no identifican los materiales visibles con M1 o M2 ni establecen resultados o condiciones experimentales a partir de las pantallas.</w:t>
      </w:r>
    </w:p>
    <w:p>
      <w:pPr>
        <w:keepLines/>
        <w:ind w:left="0" w:firstLine="0"/>
        <w:jc w:val="center"/>
      </w:pPr>
      <w:r>
        <w:drawing>
          <wp:inline xmlns:a="http://schemas.openxmlformats.org/drawingml/2006/main" xmlns:pic="http://schemas.openxmlformats.org/drawingml/2006/picture">
            <wp:extent cx="5486400" cy="4285349"/>
            <wp:docPr id="4" name="Picture 4"/>
            <wp:cNvGraphicFramePr>
              <a:graphicFrameLocks noChangeAspect="1"/>
            </wp:cNvGraphicFramePr>
            <a:graphic>
              <a:graphicData uri="http://schemas.openxmlformats.org/drawingml/2006/picture">
                <pic:pic>
                  <pic:nvPicPr>
                    <pic:cNvPr id="0" name="fig_fotografica_bioenergia.jpg"/>
                    <pic:cNvPicPr/>
                  </pic:nvPicPr>
                  <pic:blipFill>
                    <a:blip r:embed="rId13"/>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del Laboratorio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del Laboratorio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caracterización permanece identificada como PROVISIONAL M1–M2. Aunque M3 cuenta con trabajo experimental realizado y evidencia gravimétrica parcial, el paquete analítico todavía no está completo ni validado; por tanto, M3 no interviene en los datos, parámetros, ecuaciones o resultados presentados.</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w:t>
      </w:r>
    </w:p>
    <w:p>
      <w:pPr>
        <w:spacing w:line="240" w:lineRule="auto" w:before="0" w:after="0"/>
        <w:ind w:left="100" w:firstLine="719"/>
        <w:jc w:val="both"/>
      </w:pPr>
      <w:r>
        <w:rPr>
          <w:rFonts w:ascii="Times New Roman" w:hAnsi="Times New Roman"/>
          <w:sz w:val="24"/>
        </w:rPr>
        <w:t>La procedencia y el tratamiento se registraron por separado. Se clasificaron como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sin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posteriormente las estimaciones al investigador. Esta información se trató como comunicación primaria de campo con un informante clave, no como una entrevista formal ni como mediciones realizadas por Saúl o por los operarios. Sus valores aproximados representan el conocimiento operativo disponible y conservan la incertidumbre asociada con la ausencia de registros instrumentales.</w:t>
      </w:r>
    </w:p>
    <w:p>
      <w:pPr>
        <w:spacing w:line="240" w:lineRule="auto" w:before="0" w:after="0"/>
        <w:ind w:left="100" w:firstLine="719"/>
        <w:jc w:val="both"/>
      </w:pPr>
      <w:r>
        <w:rPr>
          <w:rFonts w:ascii="Times New Roman" w:hAnsi="Times New Roman"/>
          <w:sz w:val="24"/>
        </w:rPr>
        <w:t>Los datos preexistentes de la misma lechería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 La eficiencia de la bomba de 0,80 y el consumo de diésel de 3 L/h se mantuvieron como supuestos de modelación: no fueron mediciones ni se atribuyeron al informante. En cambio, los 686,5 L/día de agua de lavado procedieron de Sánchez-Romero y Brenes-Gamboa (2026), y la potencia nominal de 1,5 kW se obtuvo de la placa del equipo.</w:t>
      </w:r>
    </w:p>
    <w:p>
      <w:pPr>
        <w:spacing w:line="240" w:lineRule="auto" w:before="0" w:after="0"/>
        <w:ind w:left="100" w:firstLine="719"/>
        <w:jc w:val="both"/>
      </w:pPr>
      <w:r>
        <w:rPr>
          <w:rFonts w:ascii="Times New Roman" w:hAnsi="Times New Roman"/>
          <w:sz w:val="24"/>
        </w:rPr>
        <w:t>La masa anual común de aproximadamente 26 278,7 kg de estiércol fresco/año fue un resultado calculado y no un valor publicado directamente. Sánchez-Romero y Brenes-Gamboa (2026) aportaron la masa viva media de 396,6 kg/animal, una población media de 18 animales, una permanencia aproximada de 3,5 h/día, 2,7 kg/animal recolectados durante las actividades evaluadas y 17 525,1 kg/año recolectados. El TFG adoptó separadamente el límite inferior de 7 % de la masa viva por día del intervalo bibliográfico citado por esos autores. La generación diaria teórica por animal se prorrateó por la permanencia de 3,5/24 del día; la fracción recolectada se estimó al dividir la masa recolectada por animal entre ese depósito teórico, y la masa total anual depositada se obtuvo al dividir el total anual recolectado entre la fracción estimada. La precisión completa se conservó para los cálculos, mientras que el texto presenta una precisión acorde con los datos de entrada.</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anual de estiércol recolectado que ingresa a A1 (kg/año)</w:t>
      </w:r>
      <w:r>
        <w:rPr>
          <w:rFonts w:ascii="Times New Roman" w:hAnsi="Times New Roman"/>
          <w:sz w:val="24"/>
        </w:rPr>
        <w:t xml:space="preserve">; </w:t>
      </w:r>
      <m:oMath>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recuperada por paleado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que ingresa a B1 (kg/año)</w:t>
      </w:r>
      <w:r>
        <w:rPr>
          <w:rFonts w:ascii="Times New Roman" w:hAnsi="Times New Roman"/>
          <w:sz w:val="24"/>
        </w:rPr>
        <w:t xml:space="preserve">; </w:t>
      </w:r>
      <m:oMath>
        <m:box>
          <m:e>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teóricamente depositada en la sala de ordeño (kg/año)</w:t>
      </w:r>
      <w:r>
        <w:rPr>
          <w:rFonts w:ascii="Times New Roman" w:hAnsi="Times New Roman"/>
          <w:sz w:val="24"/>
        </w:rPr>
        <w:t xml:space="preserve">; </w:t>
      </w:r>
      <m:oMath>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oMath>
      <w:r>
        <w:rPr>
          <w:rFonts w:ascii="Times New Roman" w:hAnsi="Times New Roman"/>
          <w:sz w:val="24"/>
        </w:rPr>
        <w:t xml:space="preserve"> es la fracción másica recuperada por paleado respecto del depósito teórico (kg/kg; adimensional)</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remanente que puede incorporarse a las aguas verdes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e</m:t>
                        </m:r>
                        <m:r>
                          <m:rPr>
                            <m:sty m:val="p"/>
                          </m:rPr>
                          <m:t>q</m:t>
                        </m:r>
                        <m:r>
                          <m:rPr>
                            <m:sty m:val="p"/>
                          </m:rPr>
                          <m:t>,</m:t>
                        </m:r>
                        <m:r>
                          <m:rPr>
                            <m:sty m:val="p"/>
                          </m:rPr>
                          <m:t>A</m:t>
                        </m:r>
                        <m:r>
                          <m:rPr>
                            <m:sty m:val="p"/>
                          </m:rPr>
                          <m:t>4</m:t>
                        </m:r>
                      </m:e>
                    </m:box>
                  </m:e>
                </m:box>
              </m:sub>
            </m:sSub>
          </m:e>
        </m:box>
      </m:oMath>
      <w:r>
        <w:rPr>
          <w:rFonts w:ascii="Times New Roman" w:hAnsi="Times New Roman"/>
          <w:sz w:val="24"/>
        </w:rPr>
        <w:t xml:space="preserve"> es la masa equivalente anual de la mezcla aplicada en A4 (kg eq/año)</w:t>
      </w:r>
      <w:r>
        <w:rPr>
          <w:rFonts w:ascii="Times New Roman" w:hAnsi="Times New Roman"/>
          <w:sz w:val="24"/>
        </w:rPr>
        <w:t xml:space="preserve">; </w:t>
      </w:r>
      <m:oMath>
        <m:box>
          <m:e>
            <m:sSub>
              <m:e>
                <m:r>
                  <m:rPr>
                    <m:sty m:val="i"/>
                  </m:rPr>
                  <m:t>m</m:t>
                </m:r>
              </m:e>
              <m:sub>
                <m:box>
                  <m:e>
                    <m:box>
                      <m:e>
                        <m:r>
                          <m:rPr>
                            <m:sty m:val="p"/>
                          </m:rPr>
                          <m:t>e</m:t>
                        </m:r>
                        <m:r>
                          <m:rPr>
                            <m:sty m:val="p"/>
                          </m:rPr>
                          <m:t>q</m:t>
                        </m:r>
                        <m:r>
                          <m:rPr>
                            <m:sty m:val="p"/>
                          </m:rPr>
                          <m:t>,</m:t>
                        </m:r>
                        <m:r>
                          <m:rPr>
                            <m:sty m:val="p"/>
                          </m:rPr>
                          <m:t>B</m:t>
                        </m:r>
                        <m:r>
                          <m:rPr>
                            <m:sty m:val="p"/>
                          </m:rPr>
                          <m:t>2</m:t>
                        </m:r>
                      </m:e>
                    </m:box>
                  </m:e>
                </m:box>
              </m:sub>
            </m:sSub>
          </m:e>
        </m:box>
      </m:oMath>
      <w:r>
        <w:rPr>
          <w:rFonts w:ascii="Times New Roman" w:hAnsi="Times New Roman"/>
          <w:sz w:val="24"/>
        </w:rPr>
        <w:t xml:space="preserve"> es la masa equivalente anual de la mezcla aplicada en B2 (kg eq/año)</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de estiércol incorporada a las aguas verdes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incorporada al purín (kg/año)</w:t>
      </w:r>
      <w:r>
        <w:rPr>
          <w:rFonts w:ascii="Times New Roman" w:hAnsi="Times New Roman"/>
          <w:sz w:val="24"/>
        </w:rPr>
        <w:t xml:space="preserve">; </w:t>
      </w:r>
      <m:oMath>
        <m:box>
          <m:e>
            <m:sSub>
              <m:e>
                <m:r>
                  <m:rPr>
                    <m:sty m:val="i"/>
                  </m:rPr>
                  <m:t>V</m:t>
                </m:r>
              </m:e>
              <m:sub>
                <m:box>
                  <m:e>
                    <m:box>
                      <m:e>
                        <m:r>
                          <m:rPr>
                            <m:sty m:val="p"/>
                          </m:rPr>
                          <m:t>a</m:t>
                        </m:r>
                        <m:r>
                          <m:rPr>
                            <m:sty m:val="p"/>
                          </m:rPr>
                          <m:t>g</m:t>
                        </m:r>
                        <m:r>
                          <m:rPr>
                            <m:sty m:val="p"/>
                          </m:rPr>
                          <m:t>u</m:t>
                        </m:r>
                        <m:r>
                          <m:rPr>
                            <m:sty m:val="p"/>
                          </m:rPr>
                          <m:t>a</m:t>
                        </m:r>
                      </m:e>
                    </m:box>
                  </m:e>
                </m:box>
              </m:sub>
            </m:sSub>
          </m:e>
        </m:box>
      </m:oMath>
      <w:r>
        <w:rPr>
          <w:rFonts w:ascii="Times New Roman" w:hAnsi="Times New Roman"/>
          <w:sz w:val="24"/>
        </w:rPr>
        <w:t xml:space="preserve"> es el volumen anual de agua de lavado (L/año)</w:t>
      </w:r>
      <w:r>
        <w:rPr>
          <w:rFonts w:ascii="Times New Roman" w:hAnsi="Times New Roman"/>
          <w:sz w:val="24"/>
        </w:rPr>
        <w:t xml:space="preserve">; </w:t>
      </w:r>
      <m:oMath>
        <m:box>
          <m:e>
            <m:r>
              <m:rPr>
                <m:sty m:val="p"/>
              </m:rPr>
              <m:t>1</m:t>
            </m:r>
            <m:r>
              <m:rPr>
                <m:nor/>
              </m:rPr>
              <m:t> </m:t>
            </m:r>
            <m:box>
              <m:e>
                <m:r>
                  <m:rPr>
                    <m:sty m:val="p"/>
                  </m:rPr>
                  <m:t>k</m:t>
                </m:r>
                <m:r>
                  <m:rPr>
                    <m:sty m:val="p"/>
                  </m:rPr>
                  <m:t>g</m:t>
                </m:r>
                <m:r>
                  <m:rPr>
                    <m:sty m:val="p"/>
                  </m:rPr>
                  <m:t>/</m:t>
                </m:r>
                <m:r>
                  <m:rPr>
                    <m:sty m:val="p"/>
                  </m:rPr>
                  <m:t>L</m:t>
                </m:r>
              </m:e>
            </m:box>
          </m:e>
        </m:box>
      </m:oMath>
      <w:r>
        <w:rPr>
          <w:rFonts w:ascii="Times New Roman" w:hAnsi="Times New Roman"/>
          <w:sz w:val="24"/>
        </w:rPr>
        <w:t xml:space="preserve"> es la equivalencia de masa adoptada para el agua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R</m:t>
                </m:r>
              </m:e>
              <m:sub>
                <m:r>
                  <m:rPr>
                    <m:sty m:val="i"/>
                  </m:rPr>
                  <m:t>j</m:t>
                </m:r>
              </m:sub>
            </m:sSub>
          </m:e>
        </m:box>
      </m:oMath>
      <w:r>
        <w:rPr>
          <w:rFonts w:ascii="Times New Roman" w:hAnsi="Times New Roman"/>
          <w:sz w:val="24"/>
        </w:rPr>
        <w:t xml:space="preserve"> es la razón de masa húmeda precompostada respecto de la masa húmeda fresca en la campaña elegible j (kg/kg; adimensional)</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materia seca del estiércol fresco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cenizas del estiércol fresco en la campaña j (kg de cenizas/kg MS)</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materia seca del precompostado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cenizas del precompostado en la campaña j (kg de cenizas/kg MS)</w:t>
      </w:r>
      <w:r>
        <w:rPr>
          <w:rFonts w:ascii="Times New Roman" w:hAnsi="Times New Roman"/>
          <w:sz w:val="24"/>
        </w:rPr>
        <w:t xml:space="preserve">; </w:t>
      </w:r>
      <m:oMath>
        <m:box>
          <m:e>
            <m:limUpp>
              <m:e>
                <m:r>
                  <m:rPr>
                    <m:sty m:val="i"/>
                  </m:rPr>
                  <m:t>R</m:t>
                </m:r>
              </m:e>
              <m:lim>
                <m:r>
                  <m:rPr>
                    <m:sty m:val="p"/>
                  </m:rPr>
                  <m:t>―</m:t>
                </m:r>
              </m:lim>
            </m:limUpp>
          </m:e>
        </m:box>
      </m:oMath>
      <w:r>
        <w:rPr>
          <w:rFonts w:ascii="Times New Roman" w:hAnsi="Times New Roman"/>
          <w:sz w:val="24"/>
        </w:rPr>
        <w:t xml:space="preserve"> es la media con igual peso temporal de las razones de las n campañas elegibles (kg/kg; adimensional)</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húmeda anual de entrada a A1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(kg SV/kg de muestra húmeda; adimensional)</w:t>
      </w:r>
      <w:r>
        <w:rPr>
          <w:rFonts w:ascii="Times New Roman" w:hAnsi="Times New Roman"/>
          <w:sz w:val="24"/>
        </w:rPr>
        <w:t xml:space="preserve">; </w:t>
      </w:r>
      <m:oMath>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oMath>
      <w:r>
        <w:rPr>
          <w:rFonts w:ascii="Times New Roman" w:hAnsi="Times New Roman"/>
          <w:sz w:val="24"/>
        </w:rPr>
        <w:t xml:space="preserve"> es el contenido de sólidos volátiles expresado respecto de la materia seca (%)</w:t>
      </w:r>
      <w:r>
        <w:rPr>
          <w:rFonts w:ascii="Times New Roman" w:hAnsi="Times New Roman"/>
          <w:sz w:val="24"/>
        </w:rPr>
        <w:t xml:space="preserve">; </w:t>
      </w:r>
      <m:oMath>
        <m:box>
          <m:e>
            <m:r>
              <m:rPr>
                <m:sty m:val="i"/>
              </m:rPr>
              <m:t>M</m:t>
            </m:r>
            <m:r>
              <m:rPr>
                <m:sty m:val="i"/>
              </m:rPr>
              <m:t>S</m:t>
            </m:r>
          </m:e>
        </m:box>
      </m:oMath>
      <w:r>
        <w:rPr>
          <w:rFonts w:ascii="Times New Roman" w:hAnsi="Times New Roman"/>
          <w:sz w:val="24"/>
        </w:rPr>
        <w:t xml:space="preserve"> es el contenido gravimétrico de materia seca respecto de la masa húmeda (%)</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fronteras frescas A1, A3 y B1, la masa anual de N total de entrada se obtuvo a partir de la masa fresca de estiércol —sin sumar el agua de lavado— y su fracción másica de N. Las mediciones intermedias se conservaron como referencias experimentales y no reinicializaron el balance.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frontera (kg N/año)</w:t>
      </w:r>
      <w:r>
        <w:rPr>
          <w:rFonts w:ascii="Times New Roman" w:hAnsi="Times New Roman"/>
          <w:sz w:val="24"/>
        </w:rPr>
        <w:t xml:space="preserve">; </w:t>
      </w:r>
      <m:oMath>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oMath>
      <w:r>
        <w:rPr>
          <w:rFonts w:ascii="Times New Roman" w:hAnsi="Times New Roman"/>
          <w:sz w:val="24"/>
        </w:rPr>
        <w:t xml:space="preserve"> es la masa anual de estiércol fresco correspondiente (kg de estiércol/año)</w:t>
      </w:r>
      <w:r>
        <w:rPr>
          <w:rFonts w:ascii="Times New Roman" w:hAnsi="Times New Roman"/>
          <w:sz w:val="24"/>
        </w:rPr>
        <w:t xml:space="preserve">; </w:t>
      </w:r>
      <m:oMath>
        <m:box>
          <m:e>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másica de N en base húmeda (kg N/kg de estiércol; adimensional)</w:t>
      </w:r>
      <w:r>
        <w:rPr>
          <w:rFonts w:ascii="Times New Roman" w:hAnsi="Times New Roman"/>
          <w:sz w:val="24"/>
        </w:rPr>
        <w:t>.</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4.6.1 Metano de las etapas de manejo</w:t>
      </w:r>
    </w:p>
    <w:p>
      <w:pPr>
        <w:keepNext/>
        <w:spacing w:line="240" w:lineRule="auto" w:before="0" w:after="0"/>
        <w:ind w:left="100" w:firstLine="719"/>
        <w:jc w:val="both"/>
      </w:pPr>
      <w:r>
        <w:rPr>
          <w:rFonts w:ascii="Times New Roman" w:hAnsi="Times New Roman"/>
          <w:sz w:val="24"/>
        </w:rPr>
        <w:t>La emisión anual de CH₄ de cada etapa de manejo se estimó a partir de la masa húmeda tratada, su contenido de sólidos volátiles y los factores del IPCC aplicables.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la masa anual de metano emitida por la etapa (kg CH₄/año)</w:t>
      </w:r>
      <w:r>
        <w:rPr>
          <w:rFonts w:ascii="Times New Roman" w:hAnsi="Times New Roman"/>
          <w:sz w:val="24"/>
        </w:rPr>
        <w:t xml:space="preserve">; </w:t>
      </w:r>
      <m:oMath>
        <m:box>
          <m:e>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e>
        </m:box>
      </m:oMath>
      <w:r>
        <w:rPr>
          <w:rFonts w:ascii="Times New Roman" w:hAnsi="Times New Roman"/>
          <w:sz w:val="24"/>
        </w:rPr>
        <w:t xml:space="preserve"> es la masa húmeda anual tratada en la etapa (kg/año)</w:t>
      </w:r>
      <w:r>
        <w:rPr>
          <w:rFonts w:ascii="Times New Roman" w:hAnsi="Times New Roman"/>
          <w:sz w:val="24"/>
        </w:rPr>
        <w:t xml:space="preserve">; </w:t>
      </w:r>
      <m:oMath>
        <m:box>
          <m:e>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calculada como en la ecuación (4) (kg SV/kg de muestra húmeda; adimensional)</w:t>
      </w:r>
      <w:r>
        <w:rPr>
          <w:rFonts w:ascii="Times New Roman" w:hAnsi="Times New Roman"/>
          <w:sz w:val="24"/>
        </w:rPr>
        <w:t xml:space="preserve">; </w:t>
      </w:r>
      <m:oMath>
        <m:box>
          <m:e>
            <m:sSub>
              <m:e>
                <m:r>
                  <m:rPr>
                    <m:sty m:val="i"/>
                  </m:rPr>
                  <m:t>B</m:t>
                </m:r>
              </m:e>
              <m:sub>
                <m:r>
                  <m:rPr>
                    <m:sty m:val="p"/>
                  </m:rPr>
                  <m:t>0</m:t>
                </m:r>
              </m:sub>
            </m:sSub>
          </m:e>
        </m:box>
      </m:oMath>
      <w:r>
        <w:rPr>
          <w:rFonts w:ascii="Times New Roman" w:hAnsi="Times New Roman"/>
          <w:sz w:val="24"/>
        </w:rPr>
        <w:t xml:space="preserve"> es la capacidad máxima de producción de metano (m³ CH₄/kg SV)</w:t>
      </w:r>
      <w:r>
        <w:rPr>
          <w:rFonts w:ascii="Times New Roman" w:hAnsi="Times New Roman"/>
          <w:sz w:val="24"/>
        </w:rPr>
        <w:t xml:space="preserve">; </w:t>
      </w:r>
      <m:oMath>
        <m:box>
          <m:e>
            <m:sSub>
              <m:e>
                <m:r>
                  <m:rPr>
                    <m:sty m:val="i"/>
                  </m:rPr>
                  <m:t>ρ</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el factor de conversión de volumen a masa del IPCC, igual a 0,67 kg CH₄/m³ CH₄</w:t>
      </w:r>
      <w:r>
        <w:rPr>
          <w:rFonts w:ascii="Times New Roman" w:hAnsi="Times New Roman"/>
          <w:sz w:val="24"/>
        </w:rPr>
        <w:t xml:space="preserve">; </w:t>
      </w:r>
      <m:oMath>
        <m:box>
          <m:e>
            <m:r>
              <m:rPr>
                <m:sty m:val="i"/>
              </m:rPr>
              <m:t>M</m:t>
            </m:r>
            <m:r>
              <m:rPr>
                <m:sty m:val="i"/>
              </m:rPr>
              <m:t>C</m:t>
            </m:r>
            <m:r>
              <m:rPr>
                <m:sty m:val="i"/>
              </m:rPr>
              <m:t>F</m:t>
            </m:r>
          </m:e>
        </m:box>
      </m:oMath>
      <w:r>
        <w:rPr>
          <w:rFonts w:ascii="Times New Roman" w:hAnsi="Times New Roman"/>
          <w:sz w:val="24"/>
        </w:rPr>
        <w:t xml:space="preserve"> es el factor de conversión de metano expresado en porcentaje (%)</w:t>
      </w:r>
      <w:r>
        <w:rPr>
          <w:rFonts w:ascii="Times New Roman" w:hAnsi="Times New Roman"/>
          <w:sz w:val="24"/>
        </w:rPr>
        <w:t xml:space="preserve">; </w:t>
      </w:r>
      <m:oMath>
        <m:box>
          <m:e>
            <m:r>
              <m:rPr>
                <m:sty m:val="i"/>
              </m:rPr>
              <m:t>A</m:t>
            </m:r>
            <m:r>
              <m:rPr>
                <m:sty m:val="i"/>
              </m:rPr>
              <m:t>W</m:t>
            </m:r>
            <m:r>
              <m:rPr>
                <m:sty m:val="i"/>
              </m:rPr>
              <m:t>M</m:t>
            </m:r>
            <m:r>
              <m:rPr>
                <m:sty m:val="i"/>
              </m:rPr>
              <m:t>S</m:t>
            </m:r>
          </m:e>
        </m:box>
      </m:oMath>
      <w:r>
        <w:rPr>
          <w:rFonts w:ascii="Times New Roman" w:hAnsi="Times New Roman"/>
          <w:sz w:val="24"/>
        </w:rPr>
        <w:t xml:space="preserve"> es la fracción de la corriente asignada al sistema de manejo de desechos animales (kg/kg; adimensional)</w:t>
      </w:r>
      <w:r>
        <w:rPr>
          <w:rFonts w:ascii="Times New Roman" w:hAnsi="Times New Roman"/>
          <w:sz w:val="24"/>
        </w:rPr>
        <w:t>.</w:t>
      </w:r>
    </w:p>
    <w:p>
      <w:pPr>
        <w:pStyle w:val="Heading3"/>
      </w:pPr>
      <w:r>
        <w:rPr>
          <w:rFonts w:ascii="Times New Roman" w:hAnsi="Times New Roman"/>
          <w:color w:val="000000"/>
        </w:rPr>
        <w:t>4.6.2 Balance secuencial de N total y TAN</w:t>
      </w:r>
    </w:p>
    <w:p>
      <w:pPr>
        <w:keepNext/>
        <w:spacing w:line="240" w:lineRule="auto" w:before="0" w:after="0"/>
        <w:ind w:left="100" w:firstLine="719"/>
        <w:jc w:val="both"/>
      </w:pPr>
      <w:r>
        <w:rPr>
          <w:rFonts w:ascii="Times New Roman" w:hAnsi="Times New Roman"/>
          <w:sz w:val="24"/>
        </w:rPr>
        <w:t>La reserva inicial de TAN se estableció como el 60 % del N total únicamente en las fronteras de estiércol fresco.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nitrógeno amoniacal total en la frontera fresca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 total del estiércol fresco (kg N/año)</w:t>
      </w:r>
      <w:r>
        <w:rPr>
          <w:rFonts w:ascii="Times New Roman" w:hAnsi="Times New Roman"/>
          <w:sz w:val="24"/>
        </w:rPr>
        <w:t xml:space="preserve">; </w:t>
      </w:r>
      <m:oMath>
        <m:box>
          <m:e>
            <m:r>
              <m:rPr>
                <m:sty m:val="p"/>
              </m:rPr>
              <m:t>0</m:t>
            </m:r>
            <m:box>
              <m:e>
                <m:r>
                  <m:rPr>
                    <m:sty m:val="p"/>
                  </m:rPr>
                  <m:t>,</m:t>
                </m:r>
              </m:e>
            </m:box>
            <m:r>
              <m:rPr>
                <m:sty m:val="p"/>
              </m:rPr>
              <m:t>60</m:t>
            </m:r>
          </m:e>
        </m:box>
      </m:oMath>
      <w:r>
        <w:rPr>
          <w:rFonts w:ascii="Times New Roman" w:hAnsi="Times New Roman"/>
          <w:sz w:val="24"/>
        </w:rPr>
        <w:t xml:space="preserve"> es la fracción inicial de TAN respecto del N total (kg N/kg N;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 xml:space="preserve"> es la masa anual de N orgánico que pasa a la reserva de TAN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TAN que ingresa a la etapa (kg N/año)</w:t>
      </w:r>
      <w:r>
        <w:rPr>
          <w:rFonts w:ascii="Times New Roman" w:hAnsi="Times New Roman"/>
          <w:sz w:val="24"/>
        </w:rPr>
        <w:t xml:space="preserve">; </w:t>
      </w:r>
      <m:oMath>
        <m:box>
          <m:e>
            <m:sSub>
              <m:e>
                <m:r>
                  <m:rPr>
                    <m:sty m:val="i"/>
                  </m:rPr>
                  <m:t>f</m:t>
                </m:r>
              </m:e>
              <m:sub>
                <m:box>
                  <m:e>
                    <m:box>
                      <m:e>
                        <m:r>
                          <m:rPr>
                            <m:sty m:val="p"/>
                          </m:rPr>
                          <m:t>m</m:t>
                        </m:r>
                        <m:r>
                          <m:rPr>
                            <m:sty m:val="p"/>
                          </m:rPr>
                          <m:t>i</m:t>
                        </m:r>
                        <m:r>
                          <m:rPr>
                            <m:sty m:val="p"/>
                          </m:rPr>
                          <m:t>n</m:t>
                        </m:r>
                      </m:e>
                    </m:box>
                  </m:e>
                </m:box>
              </m:sub>
            </m:sSub>
          </m:e>
        </m:box>
      </m:oMath>
      <w:r>
        <w:rPr>
          <w:rFonts w:ascii="Times New Roman" w:hAnsi="Times New Roman"/>
          <w:sz w:val="24"/>
        </w:rPr>
        <w:t xml:space="preserve"> es la fracción de N orgánico mineralizada (kg N mineralizado/kg N orgánico; adimensional)</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masa anual de TAN disponible después de la mineralización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r>
                  <m:rPr>
                    <m:sty m:val="i"/>
                  </m:rPr>
                  <m:t>j</m:t>
                </m:r>
              </m:sub>
            </m:sSub>
          </m:e>
        </m:box>
      </m:oMath>
      <w:r>
        <w:rPr>
          <w:rFonts w:ascii="Times New Roman" w:hAnsi="Times New Roman"/>
          <w:sz w:val="24"/>
        </w:rPr>
        <w:t xml:space="preserve"> es la pérdida anual de N por la ruta j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reserva anual de TAN disponible definida en la ecuación (8) (kg N/año)</w:t>
      </w:r>
      <w:r>
        <w:rPr>
          <w:rFonts w:ascii="Times New Roman" w:hAnsi="Times New Roman"/>
          <w:sz w:val="24"/>
        </w:rPr>
        <w:t xml:space="preserve">; </w:t>
      </w:r>
      <m:oMath>
        <m:box>
          <m:e>
            <m:sSub>
              <m:e>
                <m:r>
                  <m:rPr>
                    <m:sty m:val="i"/>
                  </m:rPr>
                  <m:t>f</m:t>
                </m:r>
              </m:e>
              <m:sub>
                <m:r>
                  <m:rPr>
                    <m:sty m:val="i"/>
                  </m:rPr>
                  <m:t>j</m:t>
                </m:r>
              </m:sub>
            </m:sSub>
          </m:e>
        </m:box>
      </m:oMath>
      <w:r>
        <w:rPr>
          <w:rFonts w:ascii="Times New Roman" w:hAnsi="Times New Roman"/>
          <w:sz w:val="24"/>
        </w:rPr>
        <w:t xml:space="preserve"> es el factor de pérdida de la ruta j respecto del TAN disponible (kg N de la especie/kg TAN; adimensional)</w:t>
      </w:r>
      <w:r>
        <w:rPr>
          <w:rFonts w:ascii="Times New Roman" w:hAnsi="Times New Roman"/>
          <w:sz w:val="24"/>
        </w:rPr>
        <w:t xml:space="preserve">; </w:t>
      </w:r>
      <m:oMath>
        <m:box>
          <m:e>
            <m:r>
              <m:rPr>
                <m:sty m:val="i"/>
              </m:rPr>
              <m:t>j</m:t>
            </m:r>
          </m:e>
        </m:box>
      </m:oMath>
      <w:r>
        <w:rPr>
          <w:rFonts w:ascii="Times New Roman" w:hAnsi="Times New Roman"/>
          <w:sz w:val="24"/>
        </w:rPr>
        <w:t xml:space="preserve"> identifica las rutas expresadas como NH₃-N, NO-N o N₂-N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TAN que permanece a la salida de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expresada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expresada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expresada como N₂-N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masa anual de NH₃ emitida en A2 (kg NH₃/año)</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r>
              <m:rPr>
                <m:sty m:val="p"/>
              </m:rPr>
              <m:t>12</m:t>
            </m:r>
            <m:box>
              <m:e>
                <m:r>
                  <m:rPr>
                    <m:sty m:val="p"/>
                  </m:rPr>
                  <m:t>,</m:t>
                </m:r>
              </m:e>
            </m:box>
            <m:r>
              <m:rPr>
                <m:sty m:val="p"/>
              </m:rPr>
              <m:t>8</m:t>
            </m:r>
            <m:r>
              <m:rPr>
                <m:nor/>
              </m:rPr>
              <m:t> </m:t>
            </m:r>
            <m:box>
              <m:e>
                <m:r>
                  <m:rPr>
                    <m:sty m:val="p"/>
                  </m:rPr>
                  <m:t>g</m:t>
                </m:r>
                <m:r>
                  <m:rPr>
                    <m:nor/>
                  </m:rPr>
                  <m:t> </m:t>
                </m:r>
                <m:r>
                  <m:rPr>
                    <m:sty m:val="p"/>
                  </m:rPr>
                  <m:t>N</m:t>
                </m:r>
                <m:sSub>
                  <m:e>
                    <m:r>
                      <m:rPr>
                        <m:sty m:val="p"/>
                      </m:rPr>
                      <m:t>H</m:t>
                    </m:r>
                  </m:e>
                  <m:sub>
                    <m:r>
                      <m:rPr>
                        <m:sty m:val="p"/>
                      </m:rPr>
                      <m:t>3</m:t>
                    </m:r>
                  </m:sub>
                </m:sSub>
                <m:r>
                  <m:rPr>
                    <m:sty m:val="p"/>
                  </m:rPr>
                  <m:t>/</m:t>
                </m:r>
                <m:r>
                  <m:rPr>
                    <m:sty m:val="p"/>
                  </m:rPr>
                  <m:t>M</m:t>
                </m:r>
                <m:r>
                  <m:rPr>
                    <m:sty m:val="p"/>
                  </m:rPr>
                  <m:t>g</m:t>
                </m:r>
              </m:e>
            </m:box>
          </m:e>
        </m:box>
      </m:oMath>
      <w:r>
        <w:rPr>
          <w:rFonts w:ascii="Times New Roman" w:hAnsi="Times New Roman"/>
          <w:sz w:val="24"/>
        </w:rPr>
        <w:t xml:space="preserve"> es el factor experimental aplicado a la entrada húmeda de A2</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emisión anual de A2 expresada como NH₃-N (kg N/año)</w:t>
      </w:r>
      <w:r>
        <w:rPr>
          <w:rFonts w:ascii="Times New Roman" w:hAnsi="Times New Roman"/>
          <w:sz w:val="24"/>
        </w:rPr>
        <w:t xml:space="preserve">; </w:t>
      </w:r>
      <m:oMath>
        <m:box>
          <m:e>
            <m:f>
              <m:num>
                <m:box>
                  <m:e>
                    <m:r>
                      <m:rPr>
                        <m:sty m:val="p"/>
                      </m:rPr>
                      <m:t>14</m:t>
                    </m:r>
                  </m:e>
                </m:box>
              </m:num>
              <m:den>
                <m:box>
                  <m:e>
                    <m:r>
                      <m:rPr>
                        <m:sty m:val="p"/>
                      </m:rPr>
                      <m:t>17</m:t>
                    </m:r>
                  </m:e>
                </m:box>
              </m:den>
            </m:f>
          </m:e>
        </m:box>
      </m:oMath>
      <w:r>
        <w:rPr>
          <w:rFonts w:ascii="Times New Roman" w:hAnsi="Times New Roman"/>
          <w:sz w:val="24"/>
        </w:rPr>
        <w:t xml:space="preserve"> es la razón estequiométrica de masa de N por masa de NH₃ (kg N/kg NH₃)</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E</m:t>
            </m:r>
            <m:sSub>
              <m:e>
                <m:r>
                  <m:rPr>
                    <m:sty m:val="i"/>
                  </m:rPr>
                  <m:t>F</m:t>
                </m:r>
              </m:e>
              <m:sub>
                <m:r>
                  <m:rPr>
                    <m:sty m:val="p"/>
                  </m:rPr>
                  <m:t>3</m:t>
                </m:r>
              </m:sub>
            </m:sSub>
          </m:e>
        </m:box>
      </m:oMath>
      <w:r>
        <w:rPr>
          <w:rFonts w:ascii="Times New Roman" w:hAnsi="Times New Roman"/>
          <w:sz w:val="24"/>
        </w:rPr>
        <w:t xml:space="preserve"> es el factor de emisión directa del sistema de manejo (kg N₂O-N/kg N de entrada; adimensional en el balance másico de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de N₂O (kg N₂O/año)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es la razón de masa molecular de N₂O respecto del N contenido como N₂O-N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N total que permanece a la salida de la etapa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como N₂-N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pérdida anual directa como N₂O-N (kg N/año)</w:t>
      </w:r>
      <w:r>
        <w:rPr>
          <w:rFonts w:ascii="Times New Roman" w:hAnsi="Times New Roman"/>
          <w:sz w:val="24"/>
        </w:rPr>
        <w:t xml:space="preserve">; </w:t>
      </w:r>
      <m:oMath>
        <m:box>
          <m:e>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 xml:space="preserve"> es la pérdida anual de N por la ruta hídrica correspondiente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volatilizado que actúa como precursor de N₂O indirecto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emisión anual indirecta de N₂O por volatilización (kg N₂O/año)</w:t>
      </w:r>
      <w:r>
        <w:rPr>
          <w:rFonts w:ascii="Times New Roman" w:hAnsi="Times New Roman"/>
          <w:sz w:val="24"/>
        </w:rPr>
        <w:t xml:space="preserv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precursor volatilizado (kg N/año)</w:t>
      </w:r>
      <w:r>
        <w:rPr>
          <w:rFonts w:ascii="Times New Roman" w:hAnsi="Times New Roman"/>
          <w:sz w:val="24"/>
        </w:rPr>
        <w:t xml:space="preserve">; </w:t>
      </w:r>
      <m:oMath>
        <m:box>
          <m:e>
            <m:r>
              <m:rPr>
                <m:sty m:val="i"/>
              </m:rPr>
              <m:t>E</m:t>
            </m:r>
            <m:sSub>
              <m:e>
                <m:r>
                  <m:rPr>
                    <m:sty m:val="i"/>
                  </m:rPr>
                  <m:t>F</m:t>
                </m:r>
              </m:e>
              <m:sub>
                <m:r>
                  <m:rPr>
                    <m:sty m:val="p"/>
                  </m:rPr>
                  <m:t>4</m:t>
                </m:r>
              </m:sub>
            </m:sSub>
          </m:e>
        </m:box>
      </m:oMath>
      <w:r>
        <w:rPr>
          <w:rFonts w:ascii="Times New Roman" w:hAnsi="Times New Roman"/>
          <w:sz w:val="24"/>
        </w:rPr>
        <w:t xml:space="preserve"> es el factor de emisión indirecta por volatilización (kg N₂O-N/kg N volatilizado;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keepNext/>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e>
        </m:box>
      </m:oMath>
      <w:r>
        <w:rPr>
          <w:rFonts w:ascii="Times New Roman" w:hAnsi="Times New Roman"/>
          <w:sz w:val="24"/>
        </w:rPr>
        <w:t xml:space="preserve"> es la masa anual de N transferida desde A1 por la ruta hídrica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e>
        </m:box>
      </m:oMath>
      <w:r>
        <w:rPr>
          <w:rFonts w:ascii="Times New Roman" w:hAnsi="Times New Roman"/>
          <w:sz w:val="24"/>
        </w:rPr>
        <w:t xml:space="preserve"> es la masa anual de N total que ingresa a A1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 xml:space="preserve"> es la fracción de N transferida por lixiviación o escorrentía en A1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NH₃-N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TAN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el factor de volatilización por aplicación (kg NH₃-N/kg TAN; adimensional)</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NOx-N (kg N/año)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O</m:t>
                            </m:r>
                          </m:e>
                          <m:sub>
                            <m:r>
                              <m:rPr>
                                <m:sty m:val="p"/>
                              </m:rPr>
                              <m:t>2</m:t>
                            </m:r>
                          </m:sub>
                        </m:sSub>
                      </m:e>
                    </m:box>
                  </m:e>
                </m:box>
              </m:sub>
            </m:sSub>
          </m:e>
        </m:box>
      </m:oMath>
      <w:r>
        <w:rPr>
          <w:rFonts w:ascii="Times New Roman" w:hAnsi="Times New Roman"/>
          <w:sz w:val="24"/>
        </w:rPr>
        <w:t xml:space="preserve"> es el factor de emisión expresado como masa de NO₂ por masa de N aplicada (kg NO₂/kg N)</w:t>
      </w:r>
      <w:r>
        <w:rPr>
          <w:rFonts w:ascii="Times New Roman" w:hAnsi="Times New Roman"/>
          <w:sz w:val="24"/>
        </w:rPr>
        <w:t xml:space="preserve">; </w:t>
      </w:r>
      <m:oMath>
        <m:box>
          <m:e>
            <m:f>
              <m:num>
                <m:box>
                  <m:e>
                    <m:r>
                      <m:rPr>
                        <m:sty m:val="p"/>
                      </m:rPr>
                      <m:t>14</m:t>
                    </m:r>
                  </m:e>
                </m:box>
              </m:num>
              <m:den>
                <m:box>
                  <m:e>
                    <m:r>
                      <m:rPr>
                        <m:sty m:val="p"/>
                      </m:rPr>
                      <m:t>46</m:t>
                    </m:r>
                  </m:e>
                </m:box>
              </m:den>
            </m:f>
          </m:e>
        </m:box>
      </m:oMath>
      <w:r>
        <w:rPr>
          <w:rFonts w:ascii="Times New Roman" w:hAnsi="Times New Roman"/>
          <w:sz w:val="24"/>
        </w:rPr>
        <w:t xml:space="preserve"> es la razón estequiométrica que convierte NO₂ a masa de N (kg N/kg NO₂)</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emisión anual directa de N₂O del suelo (kg N₂O/año)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r>
              <m:rPr>
                <m:sty m:val="i"/>
              </m:rPr>
              <m:t>E</m:t>
            </m:r>
            <m:sSub>
              <m:e>
                <m:r>
                  <m:rPr>
                    <m:sty m:val="i"/>
                  </m:rPr>
                  <m:t>F</m:t>
                </m:r>
              </m:e>
              <m:sub>
                <m:r>
                  <m:rPr>
                    <m:sty m:val="p"/>
                  </m:rPr>
                  <m:t>1</m:t>
                </m:r>
              </m:sub>
            </m:sSub>
          </m:e>
        </m:box>
      </m:oMath>
      <w:r>
        <w:rPr>
          <w:rFonts w:ascii="Times New Roman" w:hAnsi="Times New Roman"/>
          <w:sz w:val="24"/>
        </w:rPr>
        <w:t xml:space="preserve"> es el factor de emisión directa de N del suelo (kg N₂O-N/kg N aplicado;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perdida por lixiviación o escorrentía (kg N/año)</w:t>
      </w:r>
      <w:r>
        <w:rPr>
          <w:rFonts w:ascii="Times New Roman" w:hAnsi="Times New Roman"/>
          <w:sz w:val="24"/>
        </w:rPr>
        <w:t xml:space="preserve">; </w:t>
      </w:r>
      <m:oMath>
        <m:box>
          <m:e>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masa anual de N que ingresa al suelo por la ruta correspondiente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fracción de N perdida por lixiviación o escorrentía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e>
        </m:box>
      </m:oMath>
      <w:r>
        <w:rPr>
          <w:rFonts w:ascii="Times New Roman" w:hAnsi="Times New Roman"/>
          <w:sz w:val="24"/>
        </w:rPr>
        <w:t xml:space="preserve"> es la masa anual equivalente de nitrato asociada con la pérdida hídrica (kg NO₃⁻/año)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f>
              <m:num>
                <m:box>
                  <m:e>
                    <m:r>
                      <m:rPr>
                        <m:sty m:val="p"/>
                      </m:rPr>
                      <m:t>62</m:t>
                    </m:r>
                  </m:e>
                </m:box>
              </m:num>
              <m:den>
                <m:box>
                  <m:e>
                    <m:r>
                      <m:rPr>
                        <m:sty m:val="p"/>
                      </m:rPr>
                      <m:t>14</m:t>
                    </m:r>
                  </m:e>
                </m:box>
              </m:den>
            </m:f>
          </m:e>
        </m:box>
      </m:oMath>
      <w:r>
        <w:rPr>
          <w:rFonts w:ascii="Times New Roman" w:hAnsi="Times New Roman"/>
          <w:sz w:val="24"/>
        </w:rPr>
        <w:t xml:space="preserve"> es la razón de masa molecular de NO₃⁻ respecto del N contenido (kg NO₃⁻/kg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e>
        </m:box>
      </m:oMath>
      <w:r>
        <w:rPr>
          <w:rFonts w:ascii="Times New Roman" w:hAnsi="Times New Roman"/>
          <w:sz w:val="24"/>
        </w:rPr>
        <w:t xml:space="preserve"> es la emisión anual indirecta de N₂O por lixiviación o escorrentía (kg N₂O/año)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r>
              <m:rPr>
                <m:sty m:val="i"/>
              </m:rPr>
              <m:t>E</m:t>
            </m:r>
            <m:sSub>
              <m:e>
                <m:r>
                  <m:rPr>
                    <m:sty m:val="i"/>
                  </m:rPr>
                  <m:t>F</m:t>
                </m:r>
              </m:e>
              <m:sub>
                <m:r>
                  <m:rPr>
                    <m:sty m:val="p"/>
                  </m:rPr>
                  <m:t>5</m:t>
                </m:r>
              </m:sub>
            </m:sSub>
          </m:e>
        </m:box>
      </m:oMath>
      <w:r>
        <w:rPr>
          <w:rFonts w:ascii="Times New Roman" w:hAnsi="Times New Roman"/>
          <w:sz w:val="24"/>
        </w:rPr>
        <w:t xml:space="preserve"> es el factor de emisión indirecta de la ruta hídrica (kg N₂O-N/kg N lixiviado o escurrido;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se aplicaron de forma consistente con la definición del inventario y con las funciones metodológicas descritas para el IPCC, EMEP/EEA, EF 3.1 y el IMN.</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keepNext/>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keepLines/>
        <w:spacing w:line="240" w:lineRule="auto" w:before="0" w:after="0"/>
        <w:ind w:left="100" w:firstLine="719"/>
        <w:jc w:val="both"/>
      </w:pPr>
      <w:r>
        <w:rPr>
          <w:rFonts w:ascii="Times New Roman" w:hAnsi="Times New Roman"/>
          <w:b/>
          <w:sz w:val="24"/>
        </w:rPr>
        <w:t xml:space="preserve">Donde: </w:t>
      </w:r>
      <m:oMath>
        <m:box>
          <m:e>
            <m:r>
              <m:rPr>
                <m:sty m:val="i"/>
              </m:rPr>
              <m:t>E</m:t>
            </m:r>
          </m:e>
        </m:box>
      </m:oMath>
      <w:r>
        <w:rPr>
          <w:rFonts w:ascii="Times New Roman" w:hAnsi="Times New Roman"/>
          <w:sz w:val="24"/>
        </w:rPr>
        <w:t xml:space="preserve"> es el consumo anual de electricidad (kWh/año)</w:t>
      </w:r>
      <w:r>
        <w:rPr>
          <w:rFonts w:ascii="Times New Roman" w:hAnsi="Times New Roman"/>
          <w:sz w:val="24"/>
        </w:rPr>
        <w:t xml:space="preserve">; </w:t>
      </w:r>
      <m:oMath>
        <m:box>
          <m:e>
            <m:sSub>
              <m:e>
                <m:r>
                  <m:rPr>
                    <m:sty m:val="i"/>
                  </m:rPr>
                  <m:t>P</m:t>
                </m:r>
              </m:e>
              <m:sub>
                <m:box>
                  <m:e>
                    <m:box>
                      <m:e>
                        <m:r>
                          <m:rPr>
                            <m:sty m:val="p"/>
                          </m:rPr>
                          <m:t>m</m:t>
                        </m:r>
                        <m:r>
                          <m:rPr>
                            <m:sty m:val="p"/>
                          </m:rPr>
                          <m:t>e</m:t>
                        </m:r>
                        <m:r>
                          <m:rPr>
                            <m:sty m:val="p"/>
                          </m:rPr>
                          <m:t>c</m:t>
                        </m:r>
                      </m:e>
                    </m:box>
                  </m:e>
                </m:box>
              </m:sub>
            </m:sSub>
          </m:e>
        </m:box>
      </m:oMath>
      <w:r>
        <w:rPr>
          <w:rFonts w:ascii="Times New Roman" w:hAnsi="Times New Roman"/>
          <w:sz w:val="24"/>
        </w:rPr>
        <w:t xml:space="preserve"> es la potencia mecánica nominal de la bomba (kW)</w:t>
      </w:r>
      <w:r>
        <w:rPr>
          <w:rFonts w:ascii="Times New Roman" w:hAnsi="Times New Roman"/>
          <w:sz w:val="24"/>
        </w:rPr>
        <w:t xml:space="preserve">; </w:t>
      </w:r>
      <m:oMath>
        <m:box>
          <m:e>
            <m:r>
              <m:rPr>
                <m:sty m:val="i"/>
              </m:rPr>
              <m:t>η</m:t>
            </m:r>
          </m:e>
        </m:box>
      </m:oMath>
      <w:r>
        <w:rPr>
          <w:rFonts w:ascii="Times New Roman" w:hAnsi="Times New Roman"/>
          <w:sz w:val="24"/>
        </w:rPr>
        <w:t xml:space="preserve"> es la eficiencia de conversión de potencia de la bomba (kW mecánico/kW eléctrico; adimensional)</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e>
        </m:box>
      </m:oMath>
      <w:r>
        <w:rPr>
          <w:rFonts w:ascii="Times New Roman" w:hAnsi="Times New Roman"/>
          <w:sz w:val="24"/>
        </w:rPr>
        <w:t xml:space="preserve"> es el número de lavados efectuados por ciclo (lavados/ciclo)</w:t>
      </w:r>
      <w:r>
        <w:rPr>
          <w:rFonts w:ascii="Times New Roman" w:hAnsi="Times New Roman"/>
          <w:sz w:val="24"/>
        </w:rPr>
        <w:t xml:space="preserve">; </w:t>
      </w:r>
      <m:oMath>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oMath>
      <w:r>
        <w:rPr>
          <w:rFonts w:ascii="Times New Roman" w:hAnsi="Times New Roman"/>
          <w:sz w:val="24"/>
        </w:rPr>
        <w:t xml:space="preserve"> es la duración de cada lavado (min/lavado)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 xml:space="preserve"> es el factor agregado de emisión eléctrica del IMN (kg CO₂-eq/kWh)</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volumen anual de diésel consumido (L/año)</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oMath>
      <w:r>
        <w:rPr>
          <w:rFonts w:ascii="Times New Roman" w:hAnsi="Times New Roman"/>
          <w:sz w:val="24"/>
        </w:rPr>
        <w:t xml:space="preserve"> es la duración de operación del tractor en cada ciclo (min/ciclo)</w:t>
      </w:r>
      <w:r>
        <w:rPr>
          <w:rFonts w:ascii="Times New Roman" w:hAnsi="Times New Roman"/>
          <w:sz w:val="24"/>
        </w:rPr>
        <w:t xml:space="preserve">; </w:t>
      </w:r>
      <m:oMath>
        <m:box>
          <m:e>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consumo horario de diésel del tractor (L/h)</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emitida del compuesto i (kg del compuesto/año)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e>
        </m:box>
      </m:oMath>
      <w:r>
        <w:rPr>
          <w:rFonts w:ascii="Times New Roman" w:hAnsi="Times New Roman"/>
          <w:sz w:val="24"/>
        </w:rPr>
        <w:t xml:space="preserve"> es el factor físico del IMN para el compuesto i, expresado en kg/L o g/L según la fuente</w:t>
      </w:r>
      <w:r>
        <w:rPr>
          <w:rFonts w:ascii="Times New Roman" w:hAnsi="Times New Roman"/>
          <w:sz w:val="24"/>
        </w:rPr>
        <w:t xml:space="preserve">; </w:t>
      </w:r>
      <m:oMath>
        <m:box>
          <m:e>
            <m:sSub>
              <m:e>
                <m:r>
                  <m:rPr>
                    <m:sty m:val="i"/>
                  </m:rPr>
                  <m:t>k</m:t>
                </m:r>
              </m:e>
              <m:sub>
                <m:r>
                  <m:rPr>
                    <m:sty m:val="i"/>
                  </m:rPr>
                  <m:t>i</m:t>
                </m:r>
              </m:sub>
            </m:sSub>
          </m:e>
        </m:box>
      </m:oMath>
      <w:r>
        <w:rPr>
          <w:rFonts w:ascii="Times New Roman" w:hAnsi="Times New Roman"/>
          <w:sz w:val="24"/>
        </w:rPr>
        <w:t xml:space="preserve"> es el coeficiente de conversión: 1 cuando el factor está en kg/L y 10⁻³ kg/g cuando está en g/L</w:t>
      </w:r>
      <w:r>
        <w:rPr>
          <w:rFonts w:ascii="Times New Roman" w:hAnsi="Times New Roman"/>
          <w:sz w:val="24"/>
        </w:rPr>
        <w:t xml:space="preserve">; </w:t>
      </w:r>
      <m:oMath>
        <m:box>
          <m:e>
            <m:r>
              <m:rPr>
                <m:sty m:val="i"/>
              </m:rPr>
              <m:t>i</m:t>
            </m:r>
          </m:e>
        </m:box>
      </m:oMath>
      <w:r>
        <w:rPr>
          <w:rFonts w:ascii="Times New Roman" w:hAnsi="Times New Roman"/>
          <w:sz w:val="24"/>
        </w:rPr>
        <w:t xml:space="preserve"> identifica CO₂ fósil, CH₄ fósil o N₂O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Los indicadores ambientales se obtuvieron sumando, para cada categoría, los flujos elementales multiplicados por sus factores de caracterización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I</m:t>
                </m:r>
              </m:e>
              <m:sub>
                <m:r>
                  <m:rPr>
                    <m:sty m:val="i"/>
                  </m:rPr>
                  <m:t>c</m:t>
                </m:r>
              </m:sub>
            </m:sSub>
          </m:e>
        </m:box>
      </m:oMath>
      <w:r>
        <w:rPr>
          <w:rFonts w:ascii="Times New Roman" w:hAnsi="Times New Roman"/>
          <w:sz w:val="24"/>
        </w:rPr>
        <w:t xml:space="preserve"> es el indicador de impacto de la categoría c, expresado en la unidad equivalente propia de la categoría por año</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del flujo elemental i (kg del flujo/año)</w:t>
      </w:r>
      <w:r>
        <w:rPr>
          <w:rFonts w:ascii="Times New Roman" w:hAnsi="Times New Roman"/>
          <w:sz w:val="24"/>
        </w:rPr>
        <w:t xml:space="preserve">; </w:t>
      </w:r>
      <m:oMath>
        <m:box>
          <m:e>
            <m:r>
              <m:rPr>
                <m:sty m:val="i"/>
              </m:rPr>
              <m:t>C</m:t>
            </m:r>
            <m:sSub>
              <m:e>
                <m:r>
                  <m:rPr>
                    <m:sty m:val="i"/>
                  </m:rPr>
                  <m:t>F</m:t>
                </m:r>
              </m:e>
              <m:sub>
                <m:box>
                  <m:e>
                    <m:r>
                      <m:rPr>
                        <m:sty m:val="i"/>
                      </m:rPr>
                      <m:t>i</m:t>
                    </m:r>
                    <m:r>
                      <m:rPr>
                        <m:sty m:val="p"/>
                      </m:rPr>
                      <m:t>,</m:t>
                    </m:r>
                    <m:r>
                      <m:rPr>
                        <m:sty m:val="i"/>
                      </m:rPr>
                      <m:t>c</m:t>
                    </m:r>
                  </m:e>
                </m:box>
              </m:sub>
            </m:sSub>
          </m:e>
        </m:box>
      </m:oMath>
      <w:r>
        <w:rPr>
          <w:rFonts w:ascii="Times New Roman" w:hAnsi="Times New Roman"/>
          <w:sz w:val="24"/>
        </w:rPr>
        <w:t xml:space="preserve"> es el factor de caracterización del flujo i en la categoría c (unidad equivalente de c/kg del flujo)</w:t>
      </w:r>
      <w:r>
        <w:rPr>
          <w:rFonts w:ascii="Times New Roman" w:hAnsi="Times New Roman"/>
          <w:sz w:val="24"/>
        </w:rPr>
        <w:t xml:space="preserve">; </w:t>
      </w:r>
      <m:oMath>
        <m:box>
          <m:e>
            <m:r>
              <m:rPr>
                <m:sty m:val="i"/>
              </m:rPr>
              <m:t>i</m:t>
            </m:r>
          </m:e>
        </m:box>
      </m:oMath>
      <w:r>
        <w:rPr>
          <w:rFonts w:ascii="Times New Roman" w:hAnsi="Times New Roman"/>
          <w:sz w:val="24"/>
        </w:rPr>
        <w:t xml:space="preserve"> identifica el flujo elemental caracterizado</w:t>
      </w:r>
      <w:r>
        <w:rPr>
          <w:rFonts w:ascii="Times New Roman" w:hAnsi="Times New Roman"/>
          <w:sz w:val="24"/>
        </w:rPr>
        <w:t xml:space="preserve">; </w:t>
      </w:r>
      <m:oMath>
        <m:box>
          <m:e>
            <m:r>
              <m:rPr>
                <m:sty m:val="i"/>
              </m:rPr>
              <m:t>c</m:t>
            </m:r>
          </m:e>
        </m:box>
      </m:oMath>
      <w:r>
        <w:rPr>
          <w:rFonts w:ascii="Times New Roman" w:hAnsi="Times New Roman"/>
          <w:sz w:val="24"/>
        </w:rPr>
        <w:t xml:space="preserve"> identifica cambio climático, eutrofización terrestre o eutrofización marina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keepLines/>
        <w:spacing w:line="240" w:lineRule="auto" w:before="0" w:after="0"/>
        <w:ind w:left="100" w:firstLine="719"/>
        <w:jc w:val="both"/>
      </w:pPr>
      <w:r>
        <w:rPr>
          <w:rFonts w:ascii="Times New Roman" w:hAnsi="Times New Roman"/>
          <w:b/>
          <w:sz w:val="24"/>
        </w:rPr>
        <w:t xml:space="preserve">Donde: </w:t>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e>
        </m:box>
      </m:oMath>
      <w:r>
        <w:rPr>
          <w:rFonts w:ascii="Times New Roman" w:hAnsi="Times New Roman"/>
          <w:sz w:val="24"/>
        </w:rPr>
        <w:t xml:space="preserve"> es el indicador anual total de cambio climático (kg CO₂-eq/año)</w:t>
      </w:r>
      <w:r>
        <w:rPr>
          <w:rFonts w:ascii="Times New Roman" w:hAnsi="Times New Roman"/>
          <w:sz w:val="24"/>
        </w:rPr>
        <w:t xml:space="preserve">; </w:t>
      </w:r>
      <m:oMath>
        <m:box>
          <m:e>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e>
        </m:box>
      </m:oMath>
      <w:r>
        <w:rPr>
          <w:rFonts w:ascii="Times New Roman" w:hAnsi="Times New Roman"/>
          <w:sz w:val="24"/>
        </w:rPr>
        <w:t xml:space="preserve"> es la contribución anual de las emisiones del manejo del estiércol (kg CO₂-eq/año)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la contribución climática anual de las emisiones físicas del diésel (kg CO₂-eq/año)</w:t>
      </w:r>
      <w:r>
        <w:rPr>
          <w:rFonts w:ascii="Times New Roman" w:hAnsi="Times New Roman"/>
          <w:sz w:val="24"/>
        </w:rPr>
        <w:t>.</w:t>
      </w:r>
    </w:p>
    <w:p>
      <w:pPr>
        <w:spacing w:line="240" w:lineRule="auto" w:before="0" w:after="0"/>
        <w:ind w:left="100" w:firstLine="719"/>
        <w:jc w:val="both"/>
      </w:pPr>
      <w:r>
        <w:rPr>
          <w:rFonts w:ascii="Times New Roman" w:hAnsi="Times New Roman"/>
          <w:sz w:val="24"/>
        </w:rPr>
        <w:t>La Tabla 5 documenta los factores visibles principales y la Figura 5 muestra la escala operacional de los flujos.</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keepLines/>
      </w:pPr>
      <w:r>
        <w:rPr>
          <w:rFonts w:ascii="Times New Roman" w:hAnsi="Times New Roman"/>
          <w:b/>
          <w:color w:val="000000"/>
        </w:rPr>
        <w:t>Figura 5</w:t>
      </w:r>
    </w:p>
    <w:p>
      <w:pPr>
        <w:pStyle w:val="Descripciónacadémica"/>
        <w:keepNext/>
        <w:keepLines/>
      </w:pPr>
      <w:r>
        <w:rPr>
          <w:rFonts w:ascii="Times New Roman" w:hAnsi="Times New Roman"/>
          <w:i/>
          <w:color w:val="000000"/>
        </w:rPr>
        <w:t>Masa equivalente total por etapa y escenario.</w:t>
      </w:r>
    </w:p>
    <w:p>
      <w:pPr>
        <w:keepLines/>
        <w:ind w:left="0" w:firstLine="0"/>
        <w:jc w:val="center"/>
      </w:pPr>
      <w:r>
        <w:drawing>
          <wp:inline xmlns:a="http://schemas.openxmlformats.org/drawingml/2006/main" xmlns:pic="http://schemas.openxmlformats.org/drawingml/2006/picture">
            <wp:extent cx="5486400" cy="2941378"/>
            <wp:docPr id="5" name="Picture 5"/>
            <wp:cNvGraphicFramePr>
              <a:graphicFrameLocks noChangeAspect="1"/>
            </wp:cNvGraphicFramePr>
            <a:graphic>
              <a:graphicData uri="http://schemas.openxmlformats.org/drawingml/2006/picture">
                <pic:pic>
                  <pic:nvPicPr>
                    <pic:cNvPr id="0" name="fig_04_flujos_masa_equivalente_total.png"/>
                    <pic:cNvPicPr/>
                  </pic:nvPicPr>
                  <pic:blipFill>
                    <a:blip r:embed="rId14"/>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SimaPro es un programa informático especializado en análisis de ciclo de vida que permite trabajar con inventarios y métodos de evaluación de impacto. En este TFG su función se limita a una verificación independiente de la caracterización EF 3.1 implementada en Python. En Python se realizaron de forma reproducible el inventario, la estimación de emisiones, la caracterización, la agregación, la normalización y los resultados presentados.</w:t>
      </w:r>
    </w:p>
    <w:p>
      <w:pPr>
        <w:spacing w:line="240" w:lineRule="auto" w:before="0" w:after="0"/>
        <w:ind w:left="100" w:firstLine="719"/>
        <w:jc w:val="both"/>
      </w:pPr>
      <w:r>
        <w:rPr>
          <w:rFonts w:ascii="Times New Roman" w:hAnsi="Times New Roman"/>
          <w:sz w:val="24"/>
        </w:rPr>
        <w:t>La comprobación independiente utiliza casos unitarios y cantidades elementales del análisis PROVISIONAL M1–M2. No reconstruye el ACV completo ni los escenarios y etapas como procesos en SimaPro, ni incorpora la contribución eléctrica agregada del IMN como si fuera un flujo elemental. El manuscrito no presenta resultados, concordancias ni discrepancias de la comparación Python–SimaPro y ninguna conclusión depende de esa comprobación.</w:t>
      </w:r>
    </w:p>
    <w:p>
      <w:pPr>
        <w:pStyle w:val="Heading2"/>
      </w:pPr>
      <w:r>
        <w:rPr>
          <w:rFonts w:ascii="Times New Roman" w:hAnsi="Times New Roman"/>
          <w:color w:val="000000"/>
        </w:rPr>
        <w:t>4.9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Estas fuentes de incertidumbre delimitan la interpretación de los resultados provisionales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integración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Tabla 6 presenta la masa húmeda o equivalente gestionada en cada etapa. En A4 y B2, la masa equivalente integra el agua de lavado con la fracción de estiércol correspondiente; no constituye la base para inicializar N total.</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Masas anuales gestionadas por etapa.</w:t>
      </w:r>
    </w:p>
    <w:tbl>
      <w:tblPr>
        <w:tblW w:type="auto" w:w="0"/>
        <w:jc w:val="center"/>
        <w:tblLook w:firstColumn="1" w:firstRow="1" w:lastColumn="0" w:lastRow="0" w:noHBand="0" w:noVBand="1" w:val="04A0"/>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gestionada (kg eq/año)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Significado físico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masa húmeda anual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7 429,968647</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Precompostado de entrada; masa húmeda inferida mediante la transformación A1→A2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fracción de boñiga; no es masa de estiércol medida ni base de N</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teóricamente depositado;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boñiga; no es masa de estiércol medida ni base de N</w:t>
            </w:r>
          </w:p>
        </w:tc>
      </w:tr>
    </w:tbl>
    <w:p>
      <w:pPr>
        <w:spacing w:line="240" w:lineRule="auto" w:before="0" w:after="0"/>
        <w:ind w:left="100" w:firstLine="719"/>
        <w:jc w:val="both"/>
      </w:pPr>
      <w:r>
        <w:rPr>
          <w:rFonts w:ascii="Times New Roman" w:hAnsi="Times New Roman"/>
          <w:sz w:val="24"/>
        </w:rPr>
        <w:t>La Figura 6 presenta la caracterización gravimétrica provisional.</w:t>
      </w:r>
    </w:p>
    <w:p>
      <w:pPr>
        <w:pStyle w:val="Rótuloacadémico"/>
        <w:keepNext/>
        <w:keepLines/>
      </w:pPr>
      <w:r>
        <w:rPr>
          <w:rFonts w:ascii="Times New Roman" w:hAnsi="Times New Roman"/>
          <w:b/>
          <w:color w:val="000000"/>
        </w:rPr>
        <w:t>Figura 6</w:t>
      </w:r>
    </w:p>
    <w:p>
      <w:pPr>
        <w:pStyle w:val="Descripciónacadémica"/>
        <w:keepNext/>
        <w:keepLines/>
      </w:pPr>
      <w:r>
        <w:rPr>
          <w:rFonts w:ascii="Times New Roman" w:hAnsi="Times New Roman"/>
          <w:i/>
          <w:color w:val="000000"/>
        </w:rPr>
        <w:t>Humedad y materia seca promedio por tipo de muestra.</w:t>
      </w:r>
    </w:p>
    <w:p>
      <w:pPr>
        <w:keepLines/>
        <w:ind w:left="0" w:firstLine="0"/>
        <w:jc w:val="center"/>
      </w:pPr>
      <w:r>
        <w:drawing>
          <wp:inline xmlns:a="http://schemas.openxmlformats.org/drawingml/2006/main" xmlns:pic="http://schemas.openxmlformats.org/drawingml/2006/picture">
            <wp:extent cx="5486400" cy="3834381"/>
            <wp:docPr id="6" name="Picture 6"/>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5"/>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7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pPr>
        <w:spacing w:line="240" w:lineRule="auto" w:before="0" w:after="0"/>
        <w:ind w:left="100" w:firstLine="719"/>
        <w:jc w:val="both"/>
      </w:pPr>
      <w:r>
        <w:rPr>
          <w:rFonts w:ascii="Times New Roman" w:hAnsi="Times New Roman"/>
          <w:sz w:val="24"/>
        </w:rPr>
        <w:t>La combustión de 182,5 L/año de diésel produjo 476,8725 kg/año de CO₂ fósil, 0,069715 kg/año de CH₄ fósil y 0,004457 kg/año de N₂O en cada escenario. Estas masas se caracterizaron después con EF 3.1 y permanecen separadas de las emisiones del manejo resumidas en la Tabla 7.</w:t>
      </w:r>
    </w:p>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keepLines/>
      </w:pPr>
      <w:r>
        <w:rPr>
          <w:rFonts w:ascii="Times New Roman" w:hAnsi="Times New Roman"/>
          <w:b/>
          <w:color w:val="000000"/>
        </w:rPr>
        <w:t>Figura 7</w:t>
      </w:r>
    </w:p>
    <w:p>
      <w:pPr>
        <w:pStyle w:val="Descripciónacadémica"/>
        <w:keepNext/>
        <w:keepLines/>
      </w:pPr>
      <w:r>
        <w:rPr>
          <w:rFonts w:ascii="Times New Roman" w:hAnsi="Times New Roman"/>
          <w:i/>
          <w:color w:val="000000"/>
        </w:rPr>
        <w:t>Emisiones anuales de CH₄ por etapa y escenario.</w:t>
      </w:r>
    </w:p>
    <w:p>
      <w:pPr>
        <w:keepLines/>
        <w:ind w:left="0" w:firstLine="0"/>
        <w:jc w:val="center"/>
      </w:pPr>
      <w:r>
        <w:drawing>
          <wp:inline xmlns:a="http://schemas.openxmlformats.org/drawingml/2006/main" xmlns:pic="http://schemas.openxmlformats.org/drawingml/2006/picture">
            <wp:extent cx="5486400" cy="3821927"/>
            <wp:docPr id="7" name="Picture 7"/>
            <wp:cNvGraphicFramePr>
              <a:graphicFrameLocks noChangeAspect="1"/>
            </wp:cNvGraphicFramePr>
            <a:graphic>
              <a:graphicData uri="http://schemas.openxmlformats.org/drawingml/2006/picture">
                <pic:pic>
                  <pic:nvPicPr>
                    <pic:cNvPr id="0" name="fig_06_emisiones_ch4.png"/>
                    <pic:cNvPicPr/>
                  </pic:nvPicPr>
                  <pic:blipFill>
                    <a:blip r:embed="rId16"/>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8 presenta los impactos por etapa. En el Escenario A, A3: Almacenamiento de aguas verdes aportó 53,93 % del cambio climático; en el Escenario B, B1: Almacenamiento de purines aportó 81,99 %. Las Figuras 8 y 9 muestran la distribución por etapa de cambio climático y eutrofización terrestre.</w:t>
      </w:r>
    </w:p>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keepLines/>
      </w:pPr>
      <w:r>
        <w:rPr>
          <w:rFonts w:ascii="Times New Roman" w:hAnsi="Times New Roman"/>
          <w:b/>
          <w:color w:val="000000"/>
        </w:rPr>
        <w:t>Figura 8</w:t>
      </w:r>
    </w:p>
    <w:p>
      <w:pPr>
        <w:pStyle w:val="Descripciónacadémica"/>
        <w:keepNext/>
        <w:keepLines/>
      </w:pPr>
      <w:r>
        <w:rPr>
          <w:rFonts w:ascii="Times New Roman" w:hAnsi="Times New Roman"/>
          <w:i/>
          <w:color w:val="000000"/>
        </w:rPr>
        <w:t>Cambio climático total por etapa y escenario.</w:t>
      </w:r>
    </w:p>
    <w:p>
      <w:pPr>
        <w:keepLines/>
        <w:ind w:left="0" w:firstLine="0"/>
        <w:jc w:val="center"/>
      </w:pPr>
      <w:r>
        <w:drawing>
          <wp:inline xmlns:a="http://schemas.openxmlformats.org/drawingml/2006/main" xmlns:pic="http://schemas.openxmlformats.org/drawingml/2006/picture">
            <wp:extent cx="5486400" cy="3067619"/>
            <wp:docPr id="8" name="Picture 8"/>
            <wp:cNvGraphicFramePr>
              <a:graphicFrameLocks noChangeAspect="1"/>
            </wp:cNvGraphicFramePr>
            <a:graphic>
              <a:graphicData uri="http://schemas.openxmlformats.org/drawingml/2006/picture">
                <pic:pic>
                  <pic:nvPicPr>
                    <pic:cNvPr id="0" name="fig_11_impactos_cambio_climatico_etapa.png"/>
                    <pic:cNvPicPr/>
                  </pic:nvPicPr>
                  <pic:blipFill>
                    <a:blip r:embed="rId17"/>
                    <a:stretch>
                      <a:fillRect/>
                    </a:stretch>
                  </pic:blipFill>
                  <pic:spPr>
                    <a:xfrm>
                      <a:off x="0" y="0"/>
                      <a:ext cx="5486400" cy="3067619"/>
                    </a:xfrm>
                    <a:prstGeom prst="rect"/>
                  </pic:spPr>
                </pic:pic>
              </a:graphicData>
            </a:graphic>
          </wp:inline>
        </w:drawing>
      </w:r>
    </w:p>
    <w:p>
      <w:pPr>
        <w:pStyle w:val="Rótuloacadémico"/>
        <w:keepNext/>
        <w:keepLines/>
      </w:pPr>
      <w:r>
        <w:rPr>
          <w:rFonts w:ascii="Times New Roman" w:hAnsi="Times New Roman"/>
          <w:b/>
          <w:color w:val="000000"/>
        </w:rPr>
        <w:t>Figura 9</w:t>
      </w:r>
    </w:p>
    <w:p>
      <w:pPr>
        <w:pStyle w:val="Descripciónacadémica"/>
        <w:keepNext/>
        <w:keepLines/>
      </w:pPr>
      <w:r>
        <w:rPr>
          <w:rFonts w:ascii="Times New Roman" w:hAnsi="Times New Roman"/>
          <w:i/>
          <w:color w:val="000000"/>
        </w:rPr>
        <w:t>Eutrofización terrestre EF 3.1 por etapa y escenario.</w:t>
      </w:r>
    </w:p>
    <w:p>
      <w:pPr>
        <w:keepLines/>
        <w:ind w:left="0" w:firstLine="0"/>
        <w:jc w:val="center"/>
      </w:pPr>
      <w:r>
        <w:drawing>
          <wp:inline xmlns:a="http://schemas.openxmlformats.org/drawingml/2006/main" xmlns:pic="http://schemas.openxmlformats.org/drawingml/2006/picture">
            <wp:extent cx="5486400" cy="3069746"/>
            <wp:docPr id="9" name="Picture 9"/>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8"/>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9 presenta la magnitud anual y la Tabla 10 separa el cambio climático del manejo, la electricidad y el diésel. La Tabla 11 muestra los indicadores por unidad funcional. La Tabla 12 y la Figura 10 presentan la comparación entre escenarios bajo la misma base funcional.</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Contribuciones al cambio climático del manejo y los recursos operativos.</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total (kg CO₂-eq/año)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5 771,931464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r>
    </w:tbl>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12</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keepLines/>
      </w:pPr>
      <w:r>
        <w:rPr>
          <w:rFonts w:ascii="Times New Roman" w:hAnsi="Times New Roman"/>
          <w:b/>
          <w:color w:val="000000"/>
        </w:rPr>
        <w:t>Figura 10</w:t>
      </w:r>
    </w:p>
    <w:p>
      <w:pPr>
        <w:pStyle w:val="Descripciónacadémica"/>
        <w:keepNext/>
        <w:keepLines/>
      </w:pPr>
      <w:r>
        <w:rPr>
          <w:rFonts w:ascii="Times New Roman" w:hAnsi="Times New Roman"/>
          <w:i/>
          <w:color w:val="000000"/>
        </w:rPr>
        <w:t>Diferencia porcentual del Escenario B respecto al Escenario A por categoría de impacto.</w:t>
      </w:r>
    </w:p>
    <w:p>
      <w:pPr>
        <w:keepLines/>
        <w:ind w:left="0" w:firstLine="0"/>
        <w:jc w:val="center"/>
      </w:pPr>
      <w:r>
        <w:drawing>
          <wp:inline xmlns:a="http://schemas.openxmlformats.org/drawingml/2006/main" xmlns:pic="http://schemas.openxmlformats.org/drawingml/2006/picture">
            <wp:extent cx="5486400" cy="3960495"/>
            <wp:docPr id="10" name="Picture 10"/>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9"/>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13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pPr>
        <w:pStyle w:val="Rótuloacadémico"/>
        <w:keepNext/>
      </w:pPr>
      <w:r>
        <w:rPr>
          <w:rFonts w:ascii="Times New Roman" w:hAnsi="Times New Roman"/>
          <w:b/>
          <w:color w:val="000000"/>
        </w:rPr>
        <w:t>Tabla 13</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pPr>
        <w:spacing w:line="240" w:lineRule="auto" w:before="0" w:after="0"/>
        <w:ind w:left="100" w:firstLine="719"/>
        <w:jc w:val="both"/>
      </w:pPr>
      <w:r>
        <w:rPr>
          <w:rFonts w:ascii="Times New Roman" w:hAnsi="Times New Roman"/>
          <w:sz w:val="24"/>
        </w:rPr>
        <w:t>Los dos escenarios incorporaron el mismo consumo anual de 53,23 kWh de electricidad y 182,5 L de diésel. Por ello, sus contribuciones operativas al cambio climático fueron iguales: 2,20901 kg CO₂-eq/año por electricidad y 480,166672 kg CO₂-eq/año por diésel. Estas cargas comunes no explican la diferencia entre escenarios, que se mantiene asociada con las emisiones del manejo dentro de la frontera estudiada.</w:t>
      </w:r>
    </w:p>
    <w:p>
      <w:pPr>
        <w:spacing w:line="240" w:lineRule="auto" w:before="0" w:after="0"/>
        <w:ind w:left="100" w:firstLine="719"/>
        <w:jc w:val="both"/>
      </w:pPr>
      <w:r>
        <w:rPr>
          <w:rFonts w:ascii="Times New Roman" w:hAnsi="Times New Roman"/>
          <w:sz w:val="24"/>
        </w:rPr>
        <w:t>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14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interpretar el modelo provisional. La consistencia continuará verificándose mediante cierre de balances, igualdad del flujo funcional e integridad temporal del análisis.</w:t>
      </w:r>
    </w:p>
    <w:p>
      <w:pPr>
        <w:pStyle w:val="Rótuloacadémico"/>
        <w:keepNext/>
      </w:pPr>
      <w:r>
        <w:rPr>
          <w:rFonts w:ascii="Times New Roman" w:hAnsi="Times New Roman"/>
          <w:b/>
          <w:color w:val="000000"/>
        </w:rPr>
        <w:t>Tabla 14</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integración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aproximadamente 26 278,7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las fuentes citadas para sustentar el contexto, la metodología y la interpretación de los resultados.</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15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15</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16 conserva la trazabilidad detallada por familia sin convertir los cálculos derivados en una nueva categoría de fuente.</w:t>
      </w:r>
    </w:p>
    <w:p>
      <w:pPr>
        <w:pStyle w:val="Rótuloacadémico"/>
        <w:keepNext/>
      </w:pPr>
      <w:r>
        <w:rPr>
          <w:rFonts w:ascii="Times New Roman" w:hAnsi="Times New Roman"/>
          <w:b/>
          <w:color w:val="000000"/>
        </w:rPr>
        <w:t>Tabla 16</w:t>
      </w:r>
    </w:p>
    <w:p>
      <w:pPr>
        <w:pStyle w:val="Descripciónacadémica"/>
        <w:keepNext/>
      </w:pPr>
      <w:r>
        <w:rPr>
          <w:rFonts w:ascii="Times New Roman" w:hAnsi="Times New Roman"/>
          <w:i/>
          <w:color w:val="000000"/>
        </w:rPr>
        <w:t>Matriz detallada de procedencia y tratamiento de los datos del inventario.</w:t>
      </w:r>
    </w:p>
    <w:tbl>
      <w:tblPr>
        <w:tblW w:type="auto" w:w="0"/>
        <w:jc w:val="center"/>
        <w:tblLook w:firstColumn="1" w:firstRow="1" w:lastColumn="0" w:lastRow="0" w:noHBand="0" w:noVBand="1" w:val="04A0"/>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Laboratorio de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y frecuencias habituales comunicados para la operación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Comunicación presencial con informante clave basada en consulta al personal operativo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Comunicado como estimación operativa aproximada;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Saúl Brenes Gamboa, administrador de la lechería; registro retrospectivo respaldado por la visita de campo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el Laboratorio de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 Tabla 17 permite seguir cada etapa individualmente desde el proceso y el dato de actividad hasta la relación de cálculo, la fuente metodológica y la salida utilizada posteriormente. Las relaciones corresponden al método aplicado en el estudio y no constituyen un modelo paralelo.</w:t>
      </w:r>
    </w:p>
    <w:p>
      <w:pPr>
        <w:pStyle w:val="Rótuloacadémico"/>
        <w:keepNext/>
      </w:pPr>
      <w:r>
        <w:rPr>
          <w:rFonts w:ascii="Times New Roman" w:hAnsi="Times New Roman"/>
          <w:b/>
          <w:color w:val="000000"/>
        </w:rPr>
        <w:t>Tabla 17</w:t>
      </w:r>
    </w:p>
    <w:p>
      <w:pPr>
        <w:pStyle w:val="Descripciónacadémica"/>
        <w:keepNext/>
      </w:pPr>
      <w:r>
        <w:rPr>
          <w:rFonts w:ascii="Times New Roman" w:hAnsi="Times New Roman"/>
          <w:i/>
          <w:color w:val="000000"/>
        </w:rPr>
        <w:t>Matriz detallada de trazabilidad metodológica por etapa A1–B2.</w:t>
      </w:r>
    </w:p>
    <w:tbl>
      <w:tblPr>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del Laboratorio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18 documenta el diseño físico ejecutado en M1 y M2, la relación entre muestras compartidas o independientes y la condición de uso de cada determinación. La tabla resume la evidencia necesaria para reproducir el diseño sin reemplazar los registros analíticos primarios.</w:t>
      </w:r>
    </w:p>
    <w:p>
      <w:pPr>
        <w:pStyle w:val="Rótuloacadémico"/>
        <w:keepNext/>
      </w:pPr>
      <w:r>
        <w:rPr>
          <w:rFonts w:ascii="Times New Roman" w:hAnsi="Times New Roman"/>
          <w:b/>
          <w:color w:val="000000"/>
        </w:rPr>
        <w:t>Tabla 18</w:t>
      </w:r>
    </w:p>
    <w:p>
      <w:pPr>
        <w:pStyle w:val="Descripciónacadémica"/>
        <w:keepNext/>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19 reúne los resultados experimentales intermedios necesarios para seguir la construcción de los parámetros del modelo. Los valores corresponden a la integración provisional M1–M2 y se presentan redondeados solo para lectura; los cálculos conservan la precisión interna de sus fuentes.</w:t>
      </w:r>
    </w:p>
    <w:p>
      <w:pPr>
        <w:pStyle w:val="Rótuloacadémico"/>
        <w:keepNext/>
      </w:pPr>
      <w:r>
        <w:rPr>
          <w:rFonts w:ascii="Times New Roman" w:hAnsi="Times New Roman"/>
          <w:b/>
          <w:color w:val="000000"/>
        </w:rPr>
        <w:t>Tabla 19</w:t>
      </w:r>
    </w:p>
    <w:p>
      <w:pPr>
        <w:pStyle w:val="Descripciónacadémica"/>
        <w:keepNext/>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0,423962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p>
      <w:pPr>
        <w:spacing w:line="240" w:lineRule="auto" w:before="0" w:after="0"/>
        <w:ind w:left="100" w:firstLine="719"/>
        <w:jc w:val="both"/>
        <w:sectPr>
          <w:headerReference w:type="default" r:id="rId9"/>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E. Balances intermedios y emisiones desagregadas</w:t>
      </w:r>
    </w:p>
    <w:p>
      <w:pPr>
        <w:spacing w:line="240" w:lineRule="auto" w:before="0" w:after="0"/>
        <w:ind w:left="100" w:firstLine="719"/>
        <w:jc w:val="both"/>
      </w:pPr>
      <w:r>
        <w:rPr>
          <w:rFonts w:ascii="Times New Roman" w:hAnsi="Times New Roman"/>
          <w:sz w:val="24"/>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pPr>
        <w:spacing w:line="240" w:lineRule="auto" w:before="0" w:after="0"/>
        <w:ind w:left="100" w:firstLine="719"/>
        <w:jc w:val="both"/>
      </w:pPr>
      <w:r>
        <w:rPr>
          <w:rFonts w:ascii="Times New Roman" w:hAnsi="Times New Roman"/>
          <w:sz w:val="24"/>
        </w:rPr>
        <w:t>La Tabla 20 permite seguir la propagación del N total y del TAN entre las etapas conectadas. En A4 y B2, la columna de transferencia presenta el N retornado al suelo según EMEP; el N residual después de las pérdidas directas se conserva por separado y no lo sustituye.</w:t>
      </w:r>
    </w:p>
    <w:p>
      <w:pPr>
        <w:pStyle w:val="Rótuloacadémico"/>
        <w:keepNext/>
      </w:pPr>
      <w:r>
        <w:rPr>
          <w:rFonts w:ascii="Times New Roman" w:hAnsi="Times New Roman"/>
          <w:b/>
          <w:color w:val="000000"/>
        </w:rPr>
        <w:t>Tabla 20</w:t>
      </w:r>
    </w:p>
    <w:p>
      <w:pPr>
        <w:pStyle w:val="Descripciónacadémica"/>
        <w:keepNext/>
      </w:pPr>
      <w:r>
        <w:rPr>
          <w:rFonts w:ascii="Times New Roman" w:hAnsi="Times New Roman"/>
          <w:i/>
          <w:color w:val="000000"/>
        </w:rPr>
        <w:t>Propagación anual de N total y TAN por etapa.</w:t>
      </w:r>
    </w:p>
    <w:tbl>
      <w:tblPr>
        <w:tblW w:type="auto" w:w="0"/>
        <w:jc w:val="center"/>
        <w:tblLook w:firstColumn="1" w:firstRow="1" w:lastColumn="0" w:lastRow="0" w:noHBand="0" w:noVBand="1" w:val="04A0"/>
      </w:tblPr>
      <w:tblGrid>
        <w:gridCol w:w="2197"/>
        <w:gridCol w:w="2197"/>
        <w:gridCol w:w="2197"/>
        <w:gridCol w:w="2197"/>
        <w:gridCol w:w="2197"/>
        <w:gridCol w:w="2197"/>
      </w:tblGrid>
      <w:tr>
        <w:trPr>
          <w:cantSplit/>
          <w:tblHeader w:val="true"/>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transferido o retornado según EMEP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residual del suelo después de pérdidas directas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salida (kg N/año)</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90,789754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54,473852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45,797288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13,828854</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45,348642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27,209185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26,08033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16,268976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9,754819</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136,138396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81,683037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78,294172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48,840103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29,284349</w:t>
            </w:r>
          </w:p>
        </w:tc>
      </w:tr>
    </w:tbl>
    <w:p>
      <w:pPr>
        <w:spacing w:line="240" w:lineRule="auto" w:before="0" w:after="0"/>
        <w:ind w:left="100" w:firstLine="719"/>
        <w:jc w:val="both"/>
      </w:pPr>
      <w:r>
        <w:rPr>
          <w:rFonts w:ascii="Times New Roman" w:hAnsi="Times New Roman"/>
          <w:sz w:val="24"/>
        </w:rPr>
        <w:t>La Tabla 21 expresa sobre una base común de N las pérdidas directas que permiten conciliar el N de entrada con la transferencia o el remanente de cada etapa. El N₂ se conserva en el balance físico, aunque no recibe caracterización en las categorías evaluadas.</w:t>
      </w:r>
    </w:p>
    <w:p>
      <w:pPr>
        <w:pStyle w:val="Rótuloacadémico"/>
        <w:keepNext/>
      </w:pPr>
      <w:r>
        <w:rPr>
          <w:rFonts w:ascii="Times New Roman" w:hAnsi="Times New Roman"/>
          <w:b/>
          <w:color w:val="000000"/>
        </w:rPr>
        <w:t>Tabla 21</w:t>
      </w:r>
    </w:p>
    <w:p>
      <w:pPr>
        <w:pStyle w:val="Descripciónacadémica"/>
        <w:keepNext/>
      </w:pPr>
      <w:r>
        <w:rPr>
          <w:rFonts w:ascii="Times New Roman" w:hAnsi="Times New Roman"/>
          <w:i/>
          <w:color w:val="000000"/>
        </w:rPr>
        <w:t>Pérdidas físicas anuales de N por etapa.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TAN para las pérdidas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N₂O-N directo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perdido en agua durante el manejo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por lixiviación o escorrentía (kg N/año)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17,431633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0,544739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16,342156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0,453949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3,63159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0,871582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0,078321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0,201553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6,046598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0,261928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7,255783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0,002902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0,087069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11,922557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0,462644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0,228017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9,120693</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21,782143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0,261386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35,791982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1,388875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0,684517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27,380677</w:t>
            </w:r>
          </w:p>
        </w:tc>
      </w:tr>
    </w:tbl>
    <w:p>
      <w:pPr>
        <w:spacing w:line="240" w:lineRule="auto" w:before="0" w:after="0"/>
        <w:ind w:left="100" w:firstLine="719"/>
        <w:jc w:val="both"/>
      </w:pPr>
      <w:r>
        <w:rPr>
          <w:rFonts w:ascii="Times New Roman" w:hAnsi="Times New Roman"/>
          <w:sz w:val="24"/>
        </w:rPr>
        <w:t>La Tabla 22 desagrega las emisiones que explican los impactos por etapa. Los valores proceden de la tabla canónica de emisiones; la vista no añade rutas ni recalcula factores.</w:t>
      </w:r>
    </w:p>
    <w:p>
      <w:pPr>
        <w:pStyle w:val="Rótuloacadémico"/>
        <w:keepNext/>
      </w:pPr>
      <w:r>
        <w:rPr>
          <w:rFonts w:ascii="Times New Roman" w:hAnsi="Times New Roman"/>
          <w:b/>
          <w:color w:val="000000"/>
        </w:rPr>
        <w:t>Tabla 22</w:t>
      </w:r>
    </w:p>
    <w:p>
      <w:pPr>
        <w:pStyle w:val="Descripciónacadémica"/>
        <w:keepNext/>
      </w:pPr>
      <w:r>
        <w:rPr>
          <w:rFonts w:ascii="Times New Roman" w:hAnsi="Times New Roman"/>
          <w:i/>
          <w:color w:val="000000"/>
        </w:rPr>
        <w:t>Emisiones anuales desagregadas por etapa y ruta.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directo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volatilización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lixiviación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 como NO₂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8,116596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0,015066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21,166983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1,789855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3,859862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4,631412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0,006157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0,095104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0,159691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8,810593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0,009536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0,272474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0,157658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14,477391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1,520115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40,39164</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184,995562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0,479399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1,075669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0,817979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0,473295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43,461693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121,257284</w:t>
            </w:r>
          </w:p>
        </w:tc>
      </w:tr>
    </w:tbl>
    <w:sectPr w:rsidR="00FC693F" w:rsidRPr="0006063C" w:rsidSect="00034616">
      <w:pgSz w:w="15840" w:h="12240" w:orient="landscape"/>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