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pStyle w:val="Títulointegral"/>
      </w:pPr>
      <w:r>
        <w:rPr>
          <w:rFonts w:ascii="Times New Roman" w:hAnsi="Times New Roman"/>
        </w:rPr>
        <w:t>Análisis de ciclo de vida de los desechos bovinos, sólidos y líquidos producidos en una lechería especializada en Turrialba, Costa Rica</w:t>
      </w:r>
    </w:p>
    <w:p>
      <w:pPr>
        <w:pStyle w:val="Portadacentrada"/>
        <w:spacing w:after="360"/>
      </w:pPr>
      <w:r>
        <w:rPr>
          <w:rFonts w:ascii="Times New Roman" w:hAnsi="Times New Roman"/>
        </w:rPr>
        <w:t>Mateo Cerdas Barboza</w:t>
        <w:br/>
        <w:t>Carné B71946</w:t>
      </w:r>
    </w:p>
    <w:p>
      <w:pPr>
        <w:pStyle w:val="Portadacentrada"/>
        <w:spacing w:after="160"/>
      </w:pPr>
      <w:r>
        <w:rPr>
          <w:rFonts w:ascii="Times New Roman" w:hAnsi="Times New Roman"/>
          <w:b/>
        </w:rPr>
        <w:t>Ing. María Melissa Rojas Downing, Ph.D.</w:t>
      </w:r>
      <w:r>
        <w:rPr>
          <w:rFonts w:ascii="Times New Roman" w:hAnsi="Times New Roman"/>
        </w:rPr>
        <w:br/>
        <w:t>Directora, Comité Asesor</w:t>
      </w:r>
    </w:p>
    <w:p>
      <w:pPr>
        <w:pStyle w:val="Portadacentrada"/>
        <w:spacing w:after="160"/>
      </w:pPr>
      <w:r>
        <w:rPr>
          <w:rFonts w:ascii="Times New Roman" w:hAnsi="Times New Roman"/>
          <w:b/>
        </w:rPr>
        <w:t>María José Rodríguez Vásquez, Ph.D.</w:t>
      </w:r>
      <w:r>
        <w:rPr>
          <w:rFonts w:ascii="Times New Roman" w:hAnsi="Times New Roman"/>
        </w:rPr>
        <w:br/>
        <w:t>Miembro, Comité Asesor</w:t>
      </w:r>
    </w:p>
    <w:p>
      <w:pPr>
        <w:pStyle w:val="Portadacentrada"/>
        <w:spacing w:after="160"/>
      </w:pPr>
      <w:r>
        <w:rPr>
          <w:rFonts w:ascii="Times New Roman" w:hAnsi="Times New Roman"/>
          <w:b/>
        </w:rPr>
        <w:t>MBA. Saul Brenes Gamboa</w:t>
      </w:r>
      <w:r>
        <w:rPr>
          <w:rFonts w:ascii="Times New Roman" w:hAnsi="Times New Roman"/>
        </w:rPr>
        <w:br/>
        <w:t>Miembro, Comité Asesor</w:t>
      </w:r>
    </w:p>
    <w:p>
      <w:pPr>
        <w:pStyle w:val="Portadacentrada"/>
        <w:spacing w:before="360"/>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spacing w:before="36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Laboratorio de Suelos y Foliares de la Ciudad de la Investigación</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original en inglés)</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original en inglés)</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por sus siglas en inglés).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UCR, para estiércol fresco y el Laboratorio de Suelos y Foliares de la Ciudad de la Investigación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húmedad y materia seca por gravimetría a 105 °C durante 16 h. El CIA determinó N y C del precompostado por Dumas sobre muestra seca o acondicionada a 80 °C durante 48 h. El porcentaje de N se combinó con la materia seca independiente de Bioenergía para construir el referencia de contraste húmedo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por sus siglas en inglés)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secuencial fue secuencial: A2 recibió el N total y el reserva residual de TAN a la salida de A1. Por ello, aplicar factores en ambas etapas no duplicó matemáticamente los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4.4.1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(1)</w:t>
      </w:r>
    </w:p>
    <w:p>
      <w:pPr>
        <w:pStyle w:val="Heading3"/>
      </w:pPr>
      <w:r>
        <w:rPr>
          <w:rFonts w:ascii="Times New Roman" w:hAnsi="Times New Roman"/>
          <w:color w:val="000000"/>
        </w:rPr>
        <w:t>4.4.2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el aproximación experimental aprobada de Komakech et al. (2016), aplicado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(6)</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(7)</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(10)</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(12)</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(13)</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del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(16)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