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  <w:color w:val="000000"/>
        </w:rPr>
        <w:t>Conclusiones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b/>
          <w:sz w:val="24"/>
        </w:rPr>
        <w:t>PROVISIONAL M1–M2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Estas conclusiones se derivan de la corrida provisional M1–M2 vigente. La incorporación de M3 actualizará la caracterización final y podrá modificar los resultados cuantitativos.</w:t>
      </w:r>
    </w:p>
    <w:p>
      <w:pPr>
        <w:pStyle w:val="Heading1"/>
      </w:pPr>
      <w:r>
        <w:rPr>
          <w:rFonts w:ascii="Times New Roman" w:hAnsi="Times New Roman"/>
          <w:color w:val="000000"/>
        </w:rPr>
        <w:t>Conclusiones del análisis de ciclo de vida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El inventario de ciclo de vida representó y cuantificó las rutas diferenciadas de manejo del estiércol en los dos escenarios, a partir de un flujo anual común de 26 278,725181 kg de estiércol fresco. En el Escenario A, 66,69 % ingresó a la ruta sólida mediante A1: Precomposteo; posteriormente, la masa resultante continuó hacia A2: Lombricompostaje, mientras que 33,31 % se incorporó a las aguas verdes. En el Escenario B, el 100 % ingresó al sistema de purines. De este modo, el inventario caracterizó las trayectorias de manejo y los flujos asociados a cada alternativa estudiada. El inventario incorporó además 53,23 kWh/año de electricidad en A3 o B1 y 182,50 L/año de diésel en A4 o B2; la electricidad se evaluó mediante el factor IMN agregado de consumo 2025, como aproximación temporal de la operación observada en 2026, y las emisiones físicas IMN del diésel se caracterizaron con EF 3.1. El total climático combina ambos aportes con el manejo del estiércol, sin cadenas de fondo ecoinvent.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Las cargas ambientales se concentraron en etapas específicas, que variaron según el escenario y la categoría. En calentamiento global, A3: Almacenamiento de aguas verdes aportó 53,93 % del total del Escenario A y B1: Almacenamiento de purines aportó 81,99 % del total del Escenario B. En eutrofización terrestre, A1: Precomposteo aportó 47,44 % del total del Escenario A y B2: Aplicación de purines en campo de pastoreo aportó 62,92 % del total del Escenario B. En eutrofización marina, A4: Aplicación de aguas verdes en campos de pastoreo aportó 70,63 % del total del Escenario A y B2: Aplicación de purines en campo de pastoreo aportó 93,14 % del total del Escenario B. La evaluación por etapa identificó así patrones de concentración diferenciados entre las alternativas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calentamiento global, el Escenario B presentó el mayor impacto por unidad funcional: 0,238 kg CO₂-eq/kg de estiércol fresco manejado, frente a 0,121 kg CO₂-eq/kg de estiércol fresco manejado en el Escenario A. La diferencia B menos A fue de 97,29 % respecto a A, lo que evidenció un menor indicador para el Escenario A bajo las condiciones estudiadas.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Para eutrofización marina EF 3.1, el Escenario B presentó el mayor impacto por unidad funcional: 0,001356 kg N-eq/kg de estiércol fresco manejado, frente a 0,000595 kg N-eq/kg en el Escenario A. La diferencia B menos A fue de 127,64 % respecto a A. Para eutrofización terrestre, el Escenario B también presentó el mayor impacto por unidad funcional: 0,036580 mol N-eq/kg de estiércol fresco manejado, frente a 0,023481 mol N-eq/kg en el Escenario A; la diferencia B menos A fue de 55,78 % respecto a A.</w:t>
      </w:r>
    </w:p>
    <w:p>
      <w:pPr>
        <w:spacing w:line="240" w:lineRule="auto" w:before="0" w:after="0"/>
        <w:ind w:left="100" w:firstLine="719"/>
        <w:jc w:val="both"/>
      </w:pPr>
      <w:r>
        <w:rPr>
          <w:rFonts w:ascii="Times New Roman" w:hAnsi="Times New Roman"/>
          <w:sz w:val="24"/>
        </w:rPr>
        <w:t>En conjunto, el ACV permitió estimar el desempeño ambiental de las dos alternativas de manejo en la lechería estudiada. Bajo la unidad funcional común de 1 kg de estiércol fresco manejado y las condiciones modeladas, el Escenario A presentó el menor indicador de calentamiento global y el Escenario A presentó el menor indicador de eutrofización marina; el Escenario A presentó asimismo el menor indicador de eutrofización terrestre, expresado separadamente en mol N-eq. Environmental Footprint 3.1 caracterizó las emisiones directas. Este resultado se circunscribió al sistema evaluado y no implicó la superioridad universal de una alternativa en otras lecherías o condiciones operativas.</w:t>
      </w:r>
    </w:p>
    <w:sectPr w:rsidR="00FC693F" w:rsidRPr="0006063C" w:rsidSect="00034616">
      <w:headerReference w:type="default" r:id="rId9"/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PROVISIONAL M1–M2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  <w:ind w:left="100" w:firstLine="719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ind w:left="0" w:firstLine="0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ind w:left="0" w:firstLine="0"/>
      <w:contextualSpacing/>
      <w:jc w:val="center"/>
    </w:pPr>
    <w:rPr>
      <w:rFonts w:asciiTheme="majorHAnsi" w:eastAsiaTheme="majorEastAsia" w:hAnsiTheme="majorHAnsi" w:cstheme="majorBidi" w:ascii="Times New Roman" w:hAnsi="Times New Roman" w:eastAsia="Times New Roman"/>
      <w:b w:val="0"/>
      <w:i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académico">
    <w:name w:val="Rótulo académico"/>
    <w:pPr>
      <w:spacing w:before="120" w:after="0"/>
      <w:ind w:left="0" w:firstLine="0"/>
      <w:jc w:val="both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Descripciónacadémica">
    <w:name w:val="Descripción académica"/>
    <w:pPr>
      <w:spacing w:before="0" w:after="120"/>
      <w:ind w:left="0" w:firstLine="0"/>
      <w:jc w:val="both"/>
    </w:pPr>
    <w:rPr>
      <w:rFonts w:ascii="Times New Roman" w:hAnsi="Times New Roman" w:eastAsia="Times New Roman"/>
      <w:b w:val="0"/>
      <w:i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