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frente a 75,02 %.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M1–M2 para sólidos y al N total Kjeldahl de M2 para aguas verdes y purines. La jornada M3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w:t>
      </w:r>
    </w:p>
    <w:p>
      <w:pPr>
        <w:spacing w:line="240" w:lineRule="auto" w:before="0" w:after="0"/>
        <w:ind w:left="100" w:firstLine="719"/>
        <w:jc w:val="both"/>
      </w:pPr>
      <w:r>
        <w:rPr>
          <w:rFonts w:ascii="Times New Roman" w:hAnsi="Times New Roman"/>
          <w:sz w:val="24"/>
        </w:rPr>
        <w:t>A1: Precomposteo recibió 17 525,1 kg/año de estiércol fresco recolectado. La entrada húmeda de A2: Lombricompostaje se estimó en 7 429,97 kg/año mediante una razón de masa derivada de materia seca y cenizas por jornada, bajo el supuesto de conservación de estas últimas. Esa entrada no fue pesada como salida de A1. La diferencia entre ambas masas húmedas no permite cuantificar evaporación ni pérdidas de sólidos: se dispuso de húmedades de muestras, pero no de los flujos de agua y sólidos necesarios para cerrar ambos balances.</w:t>
      </w:r>
    </w:p>
    <w:p>
      <w:pPr>
        <w:spacing w:line="240" w:lineRule="auto" w:before="0" w:after="0"/>
        <w:ind w:left="100" w:firstLine="719"/>
        <w:jc w:val="both"/>
      </w:pPr>
      <w:r>
        <w:rPr>
          <w:rFonts w:ascii="Times New Roman" w:hAnsi="Times New Roman"/>
          <w:sz w:val="24"/>
        </w:rPr>
        <w:t>El N total y el nitrógeno amoniacal total de A2 se propagaron desde A1 según las pérdidas de N modeladas. La masa húmeda estimada no se utilizó para descontar N de forma adicional; el N analítico del precompostado permanece como contraste experimental independiente.</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3039424"/>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3039424"/>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se organizaron por escenario y etapa. La tabla distingue entre el nitrógeno total reportado en porcentaje y su expresión como fracción másica. Para A2, la fracción del precompostado sobre masa húmeda incorpora la materia seca gravimétrica y constituye un referencia de contraste experimental; no reinicializa el balance productivo, cuyo N total y nitrógeno amoniacal total proceden de la salida de A1.</w:t>
      </w:r>
    </w:p>
    <w:p>
      <w:pPr>
        <w:spacing w:line="240" w:lineRule="auto" w:before="0" w:after="0"/>
        <w:ind w:left="100" w:firstLine="719"/>
        <w:jc w:val="both"/>
      </w:pPr>
      <w:r>
        <w:rPr>
          <w:rFonts w:ascii="Times New Roman" w:hAnsi="Times New Roman"/>
          <w:sz w:val="24"/>
        </w:rPr>
        <w:t>A2: Lombricompostaje se calculó mediante una arquitectura híbrida explícita y trazable. IPCC y la categoría Composting – Passive Windrow cubrieron CH₄ y N₂O directo; la fracción de lixiviación se estableció en cero como parámetro específico de las condiciones operativas modeladas, sin alterar el valor genérico de la categoría. La Tabla 3 resume los parámetros principales.</w:t>
      </w:r>
    </w:p>
    <w:p>
      <w:pPr>
        <w:spacing w:line="240" w:lineRule="auto" w:before="0" w:after="0"/>
        <w:ind w:left="100" w:firstLine="719"/>
        <w:jc w:val="both"/>
      </w:pPr>
      <w:r>
        <w:rPr>
          <w:rFonts w:ascii="Times New Roman" w:hAnsi="Times New Roman"/>
          <w:sz w:val="24"/>
        </w:rPr>
        <w:t>La fracción IPCC de volatilización se conservó solo como referencia de contraste y no generó una segunda emisión. El NH₃ se estimó una sola vez con el aproximación experimental aprobada de Komakech et al. (2016), aplicado a la masa húmeda inferida de entrada; NO y N₂ emplearon aproximaciones EMEP/EEA de almacenamiento sólido aprobados provisionalmente. Estas elecciones son decisiones metodológicas vigentes, aunque conservan incertidumbres de transferibilidad y representatividad, especialmente para el factor de N₂.</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74,37 kg CH₄/año, 2,49 kg N₂O/año, 44,55 kg NH₃/año, 44,25 kg NO₃⁻/año y 0 kg CO₂/año. El Escenario B presentó 185 kg CH₄/año, 2,85 kg N₂O/año, 69,91 kg NH₃/año, 121,26 kg NO₃⁻/año y 0 kg CO₂/año.</w:t>
      </w:r>
    </w:p>
    <w:p>
      <w:pPr>
        <w:spacing w:line="240" w:lineRule="auto" w:before="0" w:after="0"/>
        <w:ind w:left="100" w:firstLine="719"/>
        <w:jc w:val="both"/>
      </w:pPr>
      <w:r>
        <w:rPr>
          <w:rFonts w:ascii="Times New Roman" w:hAnsi="Times New Roman"/>
          <w:sz w:val="24"/>
        </w:rPr>
        <w:t>B1: Almacenamiento de purines presentó la mayor contribución de CH₄. B2: Aplicación de purines en campo de pastoreo presentó la mayor emisión de N₂O. A2: Lombricompostaje fue estimada mediante la arquitectura híbrida IPCC–EMEP–Komakech vigente.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e identifica por separado CO₂ fósil, CH₄ fósil y N₂O de combustión del diésel. La Tabla 4 y las figuras de emisiones conservan exclusivamente las emisiones del manejo del estiércol.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949325"/>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949325"/>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81,99 % del calentamiento global del Escenario B, con 5 127,965072 kg CO₂-eq/año. En el Escenario A, A3: Almacenamiento de aguas verdes aportó 53,93 % del total de esta categoría.</w:t>
      </w:r>
    </w:p>
    <w:p>
      <w:pPr>
        <w:spacing w:line="240" w:lineRule="auto" w:before="0" w:after="0"/>
        <w:ind w:left="100" w:firstLine="719"/>
        <w:jc w:val="both"/>
      </w:pPr>
      <w:r>
        <w:rPr>
          <w:rFonts w:ascii="Times New Roman" w:hAnsi="Times New Roman"/>
          <w:sz w:val="24"/>
        </w:rPr>
        <w:t>Para eutrofización marina, B2: Aplicación de purines en campo de pastoreo presentó la mayor contribución del Escenario B, con 93,14 % de su total; en el Escenario A, A4: Aplicación de aguas verdes en campos de pastoreo concentró 70,63 %. La tabla de impactos por etapa presenta separadamente cambio climático, eutrofización terrestre y eutrofización marina.</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y NO₃⁻ fue nula. La eutrofización terrestre y marina de esta etapa procede de las emisiones atmosféricas explícitas de NH₃ y NOx del balance secuencial.</w:t>
      </w:r>
    </w:p>
    <w:p>
      <w:pPr>
        <w:spacing w:line="240" w:lineRule="auto" w:before="0" w:after="0"/>
        <w:ind w:left="100" w:firstLine="719"/>
        <w:jc w:val="both"/>
      </w:pPr>
      <w:r>
        <w:rPr>
          <w:rFonts w:ascii="Times New Roman" w:hAnsi="Times New Roman"/>
          <w:sz w:val="24"/>
        </w:rPr>
        <w:t>La caracterización de las emisiones directas se realizó con Environmental Footprint 3.1: cambio climático en kg CO₂-eq, eutrofización terrestre en mol N-eq y eutrofización marina en kg N-eq.</w:t>
      </w:r>
    </w:p>
    <w:p>
      <w:pPr>
        <w:spacing w:line="240" w:lineRule="auto" w:before="0" w:after="0"/>
        <w:ind w:left="100" w:firstLine="719"/>
        <w:jc w:val="both"/>
      </w:pPr>
      <w:r>
        <w:rPr>
          <w:rFonts w:ascii="Times New Roman" w:hAnsi="Times New Roman"/>
          <w:sz w:val="24"/>
        </w:rPr>
        <w:t>Los consumos operativos se incorporaron mediante factores IMN: electricidad agregada de consumo 2025, como aproximación temporal del patrón observado en 2026, y emisiones físicas de diésel caracterizadas con EF 3.1. El total climático combina estas contribuciones con las del manejo; no corresponde exclusivamente a EF 3.1. No se modelaron cadenas completas de suministro mediante ecoinvent.</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118,72</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201,49</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604,87</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Cambio climático total por etapa y escenario (IMN y EF 3.1).</w:t>
      </w:r>
    </w:p>
    <w:p>
      <w:pPr>
        <w:ind w:left="0" w:firstLine="0"/>
        <w:jc w:val="center"/>
      </w:pPr>
      <w:r>
        <w:drawing>
          <wp:inline xmlns:a="http://schemas.openxmlformats.org/drawingml/2006/main" xmlns:pic="http://schemas.openxmlformats.org/drawingml/2006/picture">
            <wp:extent cx="5669280" cy="3169873"/>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669280" cy="3169873"/>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669280" cy="3172071"/>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669280" cy="3172071"/>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En el Escenario A, el impacto climático del manejo fue de 2 687,737847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En el Escenario B, el impacto climático del manejo fue de 5 771,931464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El Escenario A alcanzó 3 170,11353 kg CO₂-eq/año, 617,051713 mol N-eq/año de eutrofización terrestre y 15,648348 kg N-eq/año de eutrofización marina. El Escenario B alcanzó 6 254,307147 kg CO₂-eq/año, 961,269308 mol N-eq/año y 35,622315 kg N-eq/año, respectivamente.</w:t>
      </w:r>
    </w:p>
    <w:p>
      <w:pPr>
        <w:spacing w:line="240" w:lineRule="auto" w:before="0" w:after="0"/>
        <w:ind w:left="100" w:firstLine="719"/>
        <w:jc w:val="both"/>
      </w:pPr>
      <w:r>
        <w:rPr>
          <w:rFonts w:ascii="Times New Roman" w:hAnsi="Times New Roman"/>
          <w:sz w:val="24"/>
        </w:rPr>
        <w:t>Por unidad funcional, el Escenario A presentó 0,120634221 kg CO₂-eq, 0,023481037 mol N-eq terrestre y 0,000595476 kg N-eq marino por kg de estiércol fresco manejado. Para el Escenario B fueron 0,237998879, 0,036579754 y 0,001355557, respectivamente.</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 de estiércol fresco)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0,000595476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0,001355557</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3 084,193617 kg CO₂-eq/año, equivalente a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impacto y el Escenario A el menor. La diferencia B menos A fue de 344,217596 mol N-eq/año, equivalente a 55,78 % respecto al Escenario A.</w:t>
      </w:r>
    </w:p>
    <w:p>
      <w:pPr>
        <w:spacing w:line="240" w:lineRule="auto" w:before="0" w:after="0"/>
        <w:ind w:left="100" w:firstLine="719"/>
        <w:jc w:val="both"/>
      </w:pPr>
      <w:r>
        <w:rPr>
          <w:rFonts w:ascii="Times New Roman" w:hAnsi="Times New Roman"/>
          <w:sz w:val="24"/>
        </w:rPr>
        <w:t>En eutrofización marina, el Escenario B presentó el mayor impacto y el Escenario A el menor. La diferencia B menos A fue de 19,973967 kg N-eq/año, equivalente a 127,64 % respecto al Escenario A. La comparación conserva cada categoría EF 3.1 en su propia unidad.</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669280" cy="4092512"/>
                    </a:xfrm>
                    <a:prstGeom prst="rect"/>
                  </pic:spPr>
                </pic:pic>
              </a:graphicData>
            </a:graphic>
          </wp:inline>
        </w:drawing>
      </w:r>
    </w:p>
    <w:p>
      <w:pPr>
        <w:pStyle w:val="Heading2"/>
      </w:pPr>
      <w:r>
        <w:rPr>
          <w:rFonts w:ascii="Times New Roman" w:hAnsi="Times New Roman"/>
          <w:color w:val="000000"/>
        </w:rPr>
        <w:t>8. Contraste experimental bibliográfico de A2</w:t>
      </w:r>
    </w:p>
    <w:p>
      <w:pPr>
        <w:spacing w:line="240" w:lineRule="auto" w:before="0" w:after="0"/>
        <w:ind w:left="100" w:firstLine="719"/>
        <w:jc w:val="both"/>
      </w:pPr>
      <w:r>
        <w:rPr>
          <w:rFonts w:ascii="Times New Roman" w:hAnsi="Times New Roman"/>
          <w:sz w:val="24"/>
        </w:rPr>
        <w:t>Los resultados oficiales de A2: Lombricompostaje se contrastaron con la referencia empírica de Jjagwe et al. (2019) como referencia de contraste interpretativo, sin reinicializar el balance secuencial, forzar NH₃ nulo, sustituir la arquitectura IPCC–EMEP–Komakech ni crear un segundo inventario oficial. La base común fue la materia seca del estiércol precompostado al ingreso de A2.</w:t>
      </w:r>
    </w:p>
    <w:p>
      <w:pPr>
        <w:spacing w:line="240" w:lineRule="auto" w:before="0" w:after="0"/>
        <w:ind w:left="100" w:firstLine="719"/>
        <w:jc w:val="both"/>
      </w:pPr>
      <w:r>
        <w:rPr>
          <w:rFonts w:ascii="Times New Roman" w:hAnsi="Times New Roman"/>
          <w:sz w:val="24"/>
        </w:rPr>
        <w:t>La estimación IPCC de CH₄ fue 3,015985 g CH₄/kg de materia seca, frente a 7,6 g CH₄/kg de materia seca. La razón IPCC/referencia fue 0,39684 y la diferencia relativa fue -60,32 %.</w:t>
      </w:r>
    </w:p>
    <w:p>
      <w:pPr>
        <w:spacing w:line="240" w:lineRule="auto" w:before="0" w:after="0"/>
        <w:ind w:left="100" w:firstLine="719"/>
        <w:jc w:val="both"/>
      </w:pPr>
      <w:r>
        <w:rPr>
          <w:rFonts w:ascii="Times New Roman" w:hAnsi="Times New Roman"/>
          <w:sz w:val="24"/>
        </w:rPr>
        <w:t>Para N₂O directo, la estimación IPCC fue 268,035955 mg N₂O/kg de materia seca y la referencia experimental fue 39,43 mg N₂O/kg de materia seca. La razón fue 6,797767. El N₂O indirecto por volatilización permanece en el inventario oficial, pero se excluyó de esta comparación porque no representa una emisión medida físicamente dentro del lecho.</w:t>
      </w:r>
    </w:p>
    <w:p>
      <w:pPr>
        <w:spacing w:line="240" w:lineRule="auto" w:before="0" w:after="0"/>
        <w:ind w:left="100" w:firstLine="719"/>
        <w:jc w:val="both"/>
      </w:pPr>
      <w:r>
        <w:rPr>
          <w:rFonts w:ascii="Times New Roman" w:hAnsi="Times New Roman"/>
          <w:sz w:val="24"/>
        </w:rPr>
        <w:t>Como indicador complementario, la fracción de N inicial emitida como N₂O-N directo fue 0,00681138 kg N₂O-N/kg N para IPCC y 0,00174249 kg N₂O-N/kg N para la referencia experimental; la razón fue 3,908999. Este resultado apoya la interpretación y no constituye una validación formal del modelo.</w:t>
      </w:r>
    </w:p>
    <w:p>
      <w:pPr>
        <w:spacing w:line="240" w:lineRule="auto" w:before="0" w:after="0"/>
        <w:ind w:left="100" w:firstLine="719"/>
        <w:jc w:val="both"/>
      </w:pPr>
      <w:r>
        <w:rPr>
          <w:rFonts w:ascii="Times New Roman" w:hAnsi="Times New Roman"/>
          <w:sz w:val="24"/>
        </w:rPr>
        <w:t>El contraste armonizado de CH₄ + N₂O directo, caracterizado con los mismos factores vigentes del TFG, fue 0,15460541 kg CO₂-eq/kg de materia seca para IPCC y 0,21596439 kg CO₂-eq/kg de materia seca para Jjagwe et al. (2019). Este indicador no representa el impacto climático total del sistema: excluye CO₂ experimental y N₂O indirecto IPCC.</w:t>
      </w:r>
    </w:p>
    <w:p>
      <w:pPr>
        <w:spacing w:line="240" w:lineRule="auto" w:before="0" w:after="0"/>
        <w:ind w:left="100" w:firstLine="719"/>
        <w:jc w:val="both"/>
      </w:pPr>
      <w:r>
        <w:rPr>
          <w:rFonts w:ascii="Times New Roman" w:hAnsi="Times New Roman"/>
          <w:sz w:val="24"/>
        </w:rPr>
        <w:t>Las desviaciones no mostraron una dirección uniforme entre especies: la estimación IPCC fue menor para CH₄ y mayor para N₂O directo. Por ello, el contraste no evidencia un sesgo uniforme del método IPCC en A2 y no sustenta afirmar, de forma global, que este sobreestime, subestime o sea más conservador. La compensación parcial entre el menor CH₄ y el mayor N₂O directo en el indicador armonizado demuestra que el resultado agregado no sustituye el análisis separado de cada flujo gaseoso.</w:t>
      </w:r>
    </w:p>
    <w:p>
      <w:pPr>
        <w:spacing w:line="240" w:lineRule="auto" w:before="0" w:after="0"/>
        <w:ind w:left="100" w:firstLine="719"/>
        <w:jc w:val="both"/>
      </w:pPr>
      <w:r>
        <w:rPr>
          <w:rFonts w:ascii="Times New Roman" w:hAnsi="Times New Roman"/>
          <w:sz w:val="24"/>
        </w:rPr>
        <w:t>Jjagwe et al. (2019) reportaron una pérdida atmosférica de 18,18 % del N inicial y una distribución de 74,55 % en vermicompost y 7,27 % en biomasa de lombrices. Esta pérdida se consideró solo como contraste conceptual: no es equivalente a la fracción IPCC encaminada a volatilización, porque las especies, métodos y fronteras difieren y parte del N atmosférico no cuantificado podría corresponder a N2.</w:t>
      </w:r>
    </w:p>
    <w:p>
      <w:pPr>
        <w:spacing w:line="240" w:lineRule="auto" w:before="0" w:after="0"/>
        <w:ind w:left="100" w:firstLine="719"/>
        <w:jc w:val="both"/>
      </w:pPr>
      <w:r>
        <w:rPr>
          <w:rFonts w:ascii="Times New Roman" w:hAnsi="Times New Roman"/>
          <w:sz w:val="24"/>
        </w:rPr>
        <w:t>El estudio de Jjagwe et al. se realizó en Uganda como un sistema experimental con unidades replicadas y empleó la especie Eudrilus eugeniae. El material se mantuvo aproximadamente entre 60 y 70 % de húmedad, el proceso se organizó en ciclos cercanos a 12 semanas, el estiércol se incorporó progresivamente y había permanecido alrededor de una semana almacenado bajo sombra antes de ingresar al sistema. En contraste, A2 representa una operación real de lombricompostaje en Turrialba, estimada mediante la arquitectura híbrida vigente y la categoría IPCC disponible Composting – Passive Windrow para CH₄ y N₂O directo, con las características propias de su sustrato y condiciones operativas. Estas diferencias de especie, acondicionamiento, alimentación, húmedad, duración, ambiente geográfico y escala pueden influir en las emisiones y muestran que la base material armonizada no vuelve físicamente idénticos ambos sistemas.</w:t>
      </w:r>
    </w:p>
    <w:p>
      <w:pPr>
        <w:spacing w:line="240" w:lineRule="auto" w:before="0" w:after="0"/>
        <w:ind w:left="100" w:firstLine="719"/>
        <w:jc w:val="both"/>
      </w:pPr>
      <w:r>
        <w:rPr>
          <w:rFonts w:ascii="Times New Roman" w:hAnsi="Times New Roman"/>
          <w:sz w:val="24"/>
        </w:rPr>
        <w:t>Jjagwe et al. determinaron CO₂, CH₄, NH₃ y N₂O mediante cámaras estáticas en momentos discretos del proceso, incluidas las semanas 4, 8 y 12. Ese diseño de medición no reproduce necesariamente la variación temporal completa de una operación real. Además, el análisis de flujo de materiales no permitió identificar por completo las especies del N atmosférico; los autores plantearon que parte importante del N no cuantificado como los gases Factor medidos podría corresponder a N2 u otras formas. Estas limitaciones de medición y balance impiden atribuir las divergencias exclusivamente al método IPCC y confirman que el 18,18 % no es una medición equivalente a la fracción IPCC encaminada a volatilización.</w:t>
      </w:r>
    </w:p>
    <w:p>
      <w:pPr>
        <w:spacing w:line="240" w:lineRule="auto" w:before="0" w:after="0"/>
        <w:ind w:left="100" w:firstLine="719"/>
        <w:jc w:val="both"/>
      </w:pPr>
      <w:r>
        <w:rPr>
          <w:rFonts w:ascii="Times New Roman" w:hAnsi="Times New Roman"/>
          <w:sz w:val="24"/>
        </w:rPr>
        <w:t>En consecuencia, el referencia de contraste compara una estimación modelada con una referencia experimental externa sobre una base material armonizada, pero no sistemas físicamente idénticos. Los resultados se interpretan como contraste con literatura y no como validación o invalidación de las estimaciones IPCC.</w:t>
      </w:r>
    </w:p>
    <w:p>
      <w:pPr>
        <w:spacing w:line="240" w:lineRule="auto" w:before="0" w:after="0"/>
        <w:ind w:left="100" w:firstLine="719"/>
        <w:jc w:val="both"/>
      </w:pPr>
      <w:r>
        <w:rPr>
          <w:rFonts w:ascii="Times New Roman" w:hAnsi="Times New Roman"/>
          <w:sz w:val="24"/>
        </w:rPr>
        <w:t>No se calculó eutrofización experimental. El NH₃ no fue detectado durante la campaña, el N atmosférico no quedó completamente especiado y la adaptación del TFG para representar N potencialmente eutrofizante no constituye una especiación experimental equivalente.</w:t>
      </w:r>
    </w:p>
    <w:p>
      <w:pPr>
        <w:spacing w:line="240" w:lineRule="auto" w:before="0" w:after="0"/>
        <w:ind w:left="100" w:firstLine="719"/>
        <w:jc w:val="both"/>
      </w:pPr>
      <w:r>
        <w:rPr>
          <w:rFonts w:ascii="Times New Roman" w:hAnsi="Times New Roman"/>
          <w:sz w:val="24"/>
        </w:rPr>
        <w:t>El artículo presenta una inconsistencia interna para N₂O: el resumen indica 3,943 × 10⁻⁵ g N₂O/kg de materia seca, mientras la sección de resultados y la Figura 3 muestran un orden de decenas de miligramos, coherente además con el potencial de calentamiento global publicado. Para este contraste se adoptó explícitamente 39,43 mg N₂O/kg de materia seca.</w:t>
      </w:r>
    </w:p>
    <w:p>
      <w:pPr>
        <w:pStyle w:val="Rótuloacadémico"/>
      </w:pPr>
      <w:r>
        <w:rPr>
          <w:rFonts w:ascii="Times New Roman" w:hAnsi="Times New Roman"/>
          <w:b/>
          <w:color w:val="000000"/>
        </w:rPr>
        <w:t>Tabla 8</w:t>
      </w:r>
    </w:p>
    <w:p>
      <w:pPr>
        <w:pStyle w:val="Descripciónacadémica"/>
      </w:pPr>
      <w:r>
        <w:rPr>
          <w:rFonts w:ascii="Times New Roman" w:hAnsi="Times New Roman"/>
          <w:i/>
          <w:color w:val="000000"/>
        </w:rPr>
        <w:t>Contraste bibliográfico de A2 sobre materia seca de entrada.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w:t>
            </w:r>
          </w:p>
        </w:tc>
      </w:tr>
    </w:tbl>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219,1481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1,1239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306,8231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285,1193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7,6248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0,6963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0,8723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125,0481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114,0482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2,8212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0,2576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1 663,8291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43,5957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118,6787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0,7884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215,2455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195,0105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1,3319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4 994,8802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130,8759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356,2781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2,3669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646,1754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585,429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19,4403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1,7752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27,4041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IMN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IMN y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Recursos energéticos (kg CO₂-eq/año)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4331138"/>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4331138"/>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3169873"/>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3169873"/>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3168644"/>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3168644"/>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3169873"/>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3169873"/>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3169873"/>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3169873"/>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cambio climático total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4_comparacion_total_cambio_climatico.png"/>
                    <pic:cNvPicPr/>
                  </pic:nvPicPr>
                  <pic:blipFill>
                    <a:blip r:embed="rId23"/>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 la eutrofización marina total entre escenarios.</w:t>
      </w:r>
    </w:p>
    <w:p>
      <w:pPr>
        <w:ind w:left="0" w:firstLine="0"/>
        <w:jc w:val="center"/>
      </w:pPr>
      <w:r>
        <w:drawing>
          <wp:inline xmlns:a="http://schemas.openxmlformats.org/drawingml/2006/main" xmlns:pic="http://schemas.openxmlformats.org/drawingml/2006/picture">
            <wp:extent cx="5669280" cy="4080700"/>
            <wp:docPr id="15" name="Picture 15"/>
            <wp:cNvGraphicFramePr>
              <a:graphicFrameLocks noChangeAspect="1"/>
            </wp:cNvGraphicFramePr>
            <a:graphic>
              <a:graphicData uri="http://schemas.openxmlformats.org/drawingml/2006/picture">
                <pic:pic>
                  <pic:nvPicPr>
                    <pic:cNvPr id="0" name="fig_16_comparacion_total_eutrofizacion_marina.png"/>
                    <pic:cNvPicPr/>
                  </pic:nvPicPr>
                  <pic:blipFill>
                    <a:blip r:embed="rId24"/>
                    <a:stretch>
                      <a:fillRect/>
                    </a:stretch>
                  </pic:blipFill>
                  <pic:spPr>
                    <a:xfrm>
                      <a:off x="0" y="0"/>
                      <a:ext cx="5669280" cy="4080700"/>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