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mencionado en los antecedentes corresponde al indicador climático utilizado por los estudios allí resumidos.</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La implementación productiva y reproducible de esta relación se realiza en Python a partir de la identidad del flujo, el compartimento y la categoría.</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La evidencia sitúa actividades de campo de M1 el 10 de noviembre de 2025; el informe de los Laboratorios de Servicios Analíticos de la Escuela de Química (LASA) identifica esa fecha para el muestreo de estiércol fresco y el 11 de noviembre para su recepción. Los informes del laboratorio agronómico consignan fechas de recepción específicas por material, que no se interpretaron automáticamente como fechas de muestreo. Para M2, la evidencia documental sitúa la preparación de campo el 20 de julio de 2026, las actividades de Bioenergía el 21 de julio y la recepción en LASA el 23 de julio. Estas referencias identifican la cronología documental disponible y no se generalizan a todos los materiales ni se intercambian con las fechas de análisis o emisión de los informes.</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 Bioenergía y otras dos muestras compuestas físicamente independientes destinadas al laboratorio externo: LASA para estiércol fresco y el Laboratorio de Suelos y Foliares del Centro de Investigaciones Agronómicas (CIA) para precompostado. En M2 se obtuvieron tres muestras compuestas por sólido; de cada una se tomaron tres réplicas para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Bioenergía y los laboratorios externos se conservó tomando primero las porciones requeridas para la gravimetría y remitiendo después el material remanente de cada muestra compuesta.</w:t>
      </w:r>
    </w:p>
    <w:p>
      <w:pPr>
        <w:pStyle w:val="Heading3"/>
      </w:pPr>
      <w:r>
        <w:rPr>
          <w:rFonts w:ascii="Times New Roman" w:hAnsi="Times New Roman"/>
          <w:color w:val="000000"/>
        </w:rPr>
        <w:t>4.3.3 Determinaciones en Bioenergía</w:t>
      </w:r>
    </w:p>
    <w:p>
      <w:pPr>
        <w:spacing w:line="240" w:lineRule="auto" w:before="0" w:after="0"/>
        <w:ind w:left="100" w:firstLine="719"/>
        <w:jc w:val="both"/>
      </w:pPr>
      <w:r>
        <w:rPr>
          <w:rFonts w:ascii="Times New Roman" w:hAnsi="Times New Roman"/>
          <w:sz w:val="24"/>
        </w:rPr>
        <w:t>Bioenergía determinó humedad, materia seca, cenizas y sólidos volátiles en estiércol fresco y precompostado, con tres réplicas analíticas por muestra compuesta. Para humedad y materia seca se colocaron aproximadamente 10 g de muestra fresca por réplica en recipientes previamente pesados. Se registraron las masas del recipiente vacío y con muestra mediante balanza analítica; las porciones se secaron en estufa a 105 °C durante 16 h, se enfriaron en desecador y se pesaron nuevamente. Este TFG adoptó esas condiciones experimentales, también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cenizas y sólidos volátiles se tomó aproximadamente 1 g de la muestra seca, se trató en mufla a 575 °C durante 4 h, se enfrió en desecador y se efectuó la pesada posterior. El TFG adoptó este procedimiento con respaldo en el protocolo de Leitner et al. (2020), sin atribuirle el carácter de norma universal. El registro operativo contemporáneo de M1 consigna además una ventana de operación de seis horas cuya composición no está desglosada. Para el tratamiento se adoptó la confirmación consolidada del ejecutor de cuatro horas a 575 °C; la ventana total se conserva como discrepancia documental y no se reinterpretó como exposición continua a la temperatura objetivo. Las cenizas correspondieron a la fracción mineral remanente y los sólidos volátiles a la fracción de la materia seca perdida durante la calcinación.</w:t>
      </w:r>
    </w:p>
    <w:p>
      <w:pPr>
        <w:spacing w:line="240" w:lineRule="auto" w:before="0" w:after="0"/>
        <w:ind w:left="100" w:firstLine="719"/>
        <w:jc w:val="both"/>
      </w:pPr>
      <w:r>
        <w:rPr>
          <w:rFonts w:ascii="Times New Roman" w:hAnsi="Times New Roman"/>
          <w:sz w:val="24"/>
        </w:rPr>
        <w:t>El procedimiento documenta funcionalmente una estufa de secado, una mufla, balanzas, crisoles y desecadores. No se consignan fabricante, modelo, placa o número de serie porque esa identificación no está confirmada. La ausencia de esos datos instrumentales no altera los tiempos, temperaturas, masas aproximadas ni secuencia de pesada documentados.</w:t>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corrida permanece identificada como PROVISIONAL M1–M2. M3 está pendiente y no interviene en los datos, parámetros, ecuaciones o resultados presentados en esta versión.</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Según la taxonomía adoptada para este TFG, se clasificó como primaria la información obtenida específicamente mediante muestreo, medición, observación o registro directo. Los análisis de CIA y LASA conservaron esta condición cuando correspondieron a muestras del estudio, aunque se ejecutaran como servicio analítico externo. Los datos preexistentes, la literatura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2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Python permanece como fuente productiva y reproducible del inventario, la estimación de emisiones, la caracterización, la agregación, la normalización y los resultados canónicos.</w:t>
      </w:r>
    </w:p>
    <w:p>
      <w:pPr>
        <w:spacing w:line="240" w:lineRule="auto" w:before="0" w:after="0"/>
        <w:ind w:left="100" w:firstLine="719"/>
        <w:jc w:val="both"/>
      </w:pPr>
      <w:r>
        <w:rPr>
          <w:rFonts w:ascii="Times New Roman" w:hAnsi="Times New Roman"/>
          <w:sz w:val="24"/>
        </w:rPr>
        <w:t>La verificación se ha preparado mediante casos unitarios y cantidades elementales de la corrida PROVISIONAL M1–M2, pero su ejecución presencial en SimaPro permanece pendiente. No se reconstruirá el ACV completo ni los escenarios y etapas como procesos en ese programa; tampoco se incluirá la contribución eléctrica agregada del IMN como si fuera un flujo elemental. No se presentan resultados, concordancias ni discrepancias Python–SimaPro porque aún no existe evidencia de ejecución. La versión de SimaPro y la configuración exacta del método deberán registrarse cuando se realice la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6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7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8 presenta la magnitud anual y la Tabla 9 muestra los indicadores por unidad funcional. La Tabla 10 y la Figura 7 presentan la comparación entre escenarios bajo la misma base funcional.</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11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12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únicamente las fuentes citadas en el documento y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13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14 conserva la trazabilidad detallada por familia sin convertir los cálculos derivados en una nueva categoría de fuente.</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15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16 documenta el diseño físico ejecutado en M1 y M2, la relación entre muestras compartidas o independientes y la condición de uso de cada determinación. La vista resume la evidencia necesaria para reproducir el diseño sin reemplazar los registros analíticos primarios.</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17 reúne los resultados experimentales intermedios necesarios para seguir la construcción de los parámetros del modelo. Los valores corresponden a la integración vigente y se presentan redondeados solo para lectura; los cálculos conservan la precisión interna de sus fuentes.</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