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3"/>
      </w:pPr>
      <w:r>
        <w:rPr>
          <w:rFonts w:ascii="Times New Roman" w:hAnsi="Times New Roman"/>
          <w:color w:val="000000"/>
        </w:rPr>
        <w:t>10.1 Fuentes y levantamiento del inventario</w:t>
      </w:r>
    </w:p>
    <w:p>
      <w:pPr>
        <w:spacing w:line="240" w:lineRule="auto" w:before="0" w:after="0"/>
        <w:ind w:left="100" w:firstLine="719"/>
        <w:jc w:val="both"/>
      </w:pPr>
      <w:r>
        <w:rPr>
          <w:rFonts w:ascii="Times New Roman" w:hAnsi="Times New Roman"/>
          <w:sz w:val="24"/>
        </w:rPr>
        <w:t>El Inventario de Ciclo de Vida se construyó combinando la caracterización experimental de los materiales, las observaciones y los registros operativos de la finca, datos previamente publicados para la misma lechería, factores metodológicos oficiales o procedentes de literatura, supuestos explícitos y transformaciones reproducibles realizadas en el flujo de cálculo.</w:t>
      </w:r>
    </w:p>
    <w:p>
      <w:pPr>
        <w:spacing w:line="240" w:lineRule="auto" w:before="0" w:after="0"/>
        <w:ind w:left="100" w:firstLine="719"/>
        <w:jc w:val="both"/>
      </w:pPr>
      <w:r>
        <w:rPr>
          <w:rFonts w:ascii="Times New Roman" w:hAnsi="Times New Roman"/>
          <w:sz w:val="24"/>
        </w:rPr>
        <w:t>La procedencia académica y el tratamiento del dato se registraron como dimensiones independientes. Según la taxonomía adoptada para este TFG, se consideró primaria la información obtenida específicamente mediante muestreo, medición, observación o registro de campo. En consecuencia, los resultados del CIA y LASA conservaron carácter primario cuando correspondieron a muestras recolectadas para el estudio, aunque fueran producidos mediante un servicio analítico externo. Se consideraron secundarias las publicaciones previas, las guías oficiales y la literatura científica utilizadas por el modelo.</w:t>
      </w:r>
    </w:p>
    <w:p>
      <w:pPr>
        <w:spacing w:line="240" w:lineRule="auto" w:before="0" w:after="0"/>
        <w:ind w:left="100" w:firstLine="719"/>
        <w:jc w:val="both"/>
      </w:pPr>
      <w:r>
        <w:rPr>
          <w:rFonts w:ascii="Times New Roman" w:hAnsi="Times New Roman"/>
          <w:sz w:val="24"/>
        </w:rPr>
        <w:t>La categoría terciaria se reservó para compilaciones empleadas principalmente como apoyo contextual o para localizar fuentes; ninguna entrada cuantitativa activa del inventario requirió esa clasificación. Del mismo modo, medido, observado, publicado, supuesto, calculado, integrado, propagado, factor metodológico y factor de caracterización describen el tratamiento del dato y no reemplazan su procedencia.</w:t>
      </w:r>
    </w:p>
    <w:p>
      <w:pPr>
        <w:spacing w:line="240" w:lineRule="auto" w:before="0" w:after="0"/>
        <w:ind w:left="100" w:firstLine="719"/>
        <w:jc w:val="both"/>
      </w:pPr>
      <w:r>
        <w:rPr>
          <w:rFonts w:ascii="Times New Roman" w:hAnsi="Times New Roman"/>
          <w:sz w:val="24"/>
        </w:rPr>
        <w:t>La Tabla 4 resume seis macrofamilias de información y su función metodológica. La matriz completa de 15 familias, con etapas, subtipo, fuente concreta y uso, se presenta en el Apéndice interno D, Matriz detallada de procedencia de los datos del inventario.</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Procedencia y tratamiento de las familias de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lógica metodológica se organizó además por etapa para mostrar, sin reconstruir el modelo, la relación entre proceso, dato de actividad, ecuación vigente, fuente y uso posterior. La Tabla 5 sintetiza las seis etapas obligatorias; la matriz completa se presenta en el Apéndice interno E, Matriz detallada de trazabilidad metodológica por etapa A1–B2.</w:t>
      </w:r>
    </w:p>
    <w:p>
      <w:pPr>
        <w:spacing w:line="240" w:lineRule="auto" w:before="0" w:after="0"/>
        <w:ind w:left="100" w:firstLine="719"/>
        <w:jc w:val="both"/>
      </w:pPr>
      <w:r>
        <w:rPr>
          <w:rFonts w:ascii="Times New Roman" w:hAnsi="Times New Roman"/>
          <w:sz w:val="24"/>
        </w:rPr>
        <w:t>La matriz distingue la generación del inventario de su caracterización: primero se obtienen emisiones o consumos y, únicamente después, los flujos elementales compatibles se multiplican por factores de Environmental Footprint 3.1 para producir indicadores. El factor agregado del Instituto Meteorológico Nacional para electricidad conserva su tratamiento separado.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Síntesis de la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humedad se estimó como la fracción de agua removida durante el secado. Estas determinaciones gravimétricas fueron realizadas por Bioenergía a 105 °C durante 16 h y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la Tabla M3 presenta el diccionario de variables metodológicas, la Tabla M4 conserva la trazabilidad detallada de procedencia y la Tabla M5 desarrolla la trazabilidad metodológica por etapa.</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p>
      <w:pPr>
        <w:pStyle w:val="Heading2"/>
      </w:pPr>
      <w:r>
        <w:rPr>
          <w:rFonts w:ascii="Times New Roman" w:hAnsi="Times New Roman"/>
          <w:color w:val="000000"/>
        </w:rPr>
        <w:t>Apéndice interno D. Matriz detallada de procedencia de los datos del inventario</w:t>
      </w:r>
    </w:p>
    <w:p>
      <w:pPr>
        <w:spacing w:line="240" w:lineRule="auto" w:before="0" w:after="0"/>
        <w:ind w:left="100" w:firstLine="719"/>
        <w:jc w:val="both"/>
      </w:pPr>
      <w:r>
        <w:rPr>
          <w:rFonts w:ascii="Times New Roman" w:hAnsi="Times New Roman"/>
          <w:sz w:val="24"/>
        </w:rPr>
        <w:t>La Tabla M4 detalla la procedencia académica y, por separado, el tratamiento aplicado a cada familia de datos utilizada para construir el inventario.</w:t>
      </w:r>
    </w:p>
    <w:p>
      <w:pPr>
        <w:pStyle w:val="Rótuloacadémico"/>
      </w:pPr>
      <w:r>
        <w:rPr>
          <w:rFonts w:ascii="Times New Roman" w:hAnsi="Times New Roman"/>
          <w:b/>
          <w:color w:val="000000"/>
        </w:rPr>
        <w:t>Tabla M4</w:t>
      </w:r>
    </w:p>
    <w:p>
      <w:pPr>
        <w:pStyle w:val="Descripciónacadémica"/>
      </w:pPr>
      <w:r>
        <w:rPr>
          <w:rFonts w:ascii="Times New Roman" w:hAnsi="Times New Roman"/>
          <w:i/>
          <w:color w:val="000000"/>
        </w:rPr>
        <w:t>Matriz detallada de procedencia y tratamiento de los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pStyle w:val="Heading2"/>
      </w:pPr>
      <w:r>
        <w:rPr>
          <w:rFonts w:ascii="Times New Roman" w:hAnsi="Times New Roman"/>
          <w:color w:val="000000"/>
        </w:rPr>
        <w:t>Apéndice interno E. Matriz detallada de trazabilidad metodológica por etapa A1–B2</w:t>
      </w:r>
    </w:p>
    <w:p>
      <w:pPr>
        <w:spacing w:line="240" w:lineRule="auto" w:before="0" w:after="0"/>
        <w:ind w:left="100" w:firstLine="719"/>
        <w:jc w:val="both"/>
      </w:pPr>
      <w:r>
        <w:rPr>
          <w:rFonts w:ascii="Times New Roman" w:hAnsi="Times New Roman"/>
          <w:sz w:val="24"/>
        </w:rPr>
        <w:t>La Tabla M5 permite seguir cada etapa desde el fenómeno y el dato de actividad hasta la relación de cálculo, la fuente metodológica y el uso posterior. Las filas de caracterización se mantienen separadas de las filas que generan emisiones o consumos.</w:t>
      </w:r>
    </w:p>
    <w:p>
      <w:pPr>
        <w:pStyle w:val="Rótuloacadémico"/>
      </w:pPr>
      <w:r>
        <w:rPr>
          <w:rFonts w:ascii="Times New Roman" w:hAnsi="Times New Roman"/>
          <w:b/>
          <w:color w:val="000000"/>
        </w:rPr>
        <w:t>Tabla M5</w:t>
      </w:r>
    </w:p>
    <w:p>
      <w:pPr>
        <w:pStyle w:val="Descripciónacadémica"/>
      </w:pPr>
      <w:r>
        <w:rPr>
          <w:rFonts w:ascii="Times New Roman" w:hAnsi="Times New Roman"/>
          <w:i/>
          <w:color w:val="000000"/>
        </w:rPr>
        <w:t>Matriz detallada de trazabilidad metodológica por etapa A1–B2.</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