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240" w:lineRule="auto" w:before="0" w:after="0"/>
        <w:ind w:left="100" w:firstLine="719"/>
        <w:jc w:val="both"/>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240" w:lineRule="auto" w:before="0" w:after="0"/>
        <w:ind w:left="100" w:firstLine="719"/>
        <w:jc w:val="both"/>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El Escenario B representa una alternativa en la que los purines se almacenan y se aplican directamente en campo de pastoreo. Sus etapas son B1: Almacenamiento de purines y B2: Aplicación de purines en campo de pastoreo.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al almacenamiento de la mezcla líquida de estiércol, orina, agua de lavado y residuos arrastrados antes de su aplicación. B2: Aplicación de purines en campo de pastoreo corresponde a la aplicación directa de purines sobre el terreno.</w:t>
      </w:r>
    </w:p>
    <w:p>
      <w:pPr>
        <w:spacing w:line="240" w:lineRule="auto" w:before="0" w:after="0"/>
        <w:ind w:left="100" w:firstLine="719"/>
        <w:jc w:val="both"/>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2840"/>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2840"/>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ex,fraction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complementan la interpretación operativa del sistema durante el periodo evaluado, pero no constituyen la unidad funcional.</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ex,fraction como fracción másica de entrada.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N A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co2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ch4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pendiente de referencia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n2o kg por kg residuo seco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