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Los factores Factor medidos utilizados para relacionar el residuo seco o estiércol precompostado con emisiones de gases de efecto invernadero fueron tomados de Jjagwe et al. (2019).</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