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Resultados desarrollados del Análisis de Ciclo de Vida</w:t>
      </w:r>
    </w:p>
    <w:p>
      <w:pPr>
        <w:pStyle w:val="Heading2"/>
      </w:pPr>
      <w:r>
        <w:rPr>
          <w:rFonts w:ascii="Times New Roman" w:hAnsi="Times New Roman"/>
          <w:color w:val="000000"/>
        </w:rPr>
        <w:t>1. Caracterización de las muestras analizadas</w:t>
      </w:r>
    </w:p>
    <w:p>
      <w:pPr>
        <w:spacing w:line="240" w:lineRule="auto" w:before="0" w:after="0"/>
        <w:ind w:left="100" w:firstLine="719"/>
        <w:jc w:val="both"/>
      </w:pPr>
      <w:r>
        <w:rPr>
          <w:rFonts w:ascii="Times New Roman" w:hAnsi="Times New Roman"/>
          <w:sz w:val="24"/>
        </w:rPr>
        <w:t>La caracterización de las muestras analizadas permitió establecer los parámetros fisicoquímicos usados como entradas del inventario de ciclo de vida. El estiércol fresco presentó una húmedad promedio de 85,77 % y una materia seca de 14,23 %. El estiércol precompostado presentó una húmedad promedio de 77,59 % y una materia seca de 22,41 %.</w:t>
      </w:r>
    </w:p>
    <w:p>
      <w:pPr>
        <w:spacing w:line="240" w:lineRule="auto" w:before="0" w:after="0"/>
        <w:ind w:left="100" w:firstLine="719"/>
        <w:jc w:val="both"/>
      </w:pPr>
      <w:r>
        <w:rPr>
          <w:rFonts w:ascii="Times New Roman" w:hAnsi="Times New Roman"/>
          <w:sz w:val="24"/>
        </w:rPr>
        <w:t>La fracción de sólidos volátiles fue mayor en el estiércol fresco, con 85,88 % en base seca, mientras que el estiércol precompostado presentó 70,96 %. En contraste, las cenizas fueron mayores en el material precompostado. El nitrógeno total fue de 0,372 % para estiércol fresco y de 2,425 % para estiércol precompostado.</w:t>
      </w:r>
    </w:p>
    <w:p>
      <w:pPr>
        <w:spacing w:line="240" w:lineRule="auto" w:before="0" w:after="0"/>
        <w:ind w:left="100" w:firstLine="719"/>
        <w:jc w:val="both"/>
      </w:pPr>
      <w:r>
        <w:rPr>
          <w:rFonts w:ascii="Times New Roman" w:hAnsi="Times New Roman"/>
          <w:sz w:val="24"/>
        </w:rPr>
        <w:t>La Tabla 1 resume los valores de caracterización de las muestras. La Figura 1 presenta húmedad y materia seca, mientras que la Figura 2 presenta sólidos volátiles y cenizas.</w:t>
      </w:r>
    </w:p>
    <w:p>
      <w:pPr>
        <w:spacing w:line="240" w:lineRule="auto" w:before="0" w:after="0"/>
        <w:ind w:left="100" w:firstLine="719"/>
        <w:jc w:val="both"/>
      </w:pPr>
      <w:r>
        <w:rPr>
          <w:rFonts w:ascii="Times New Roman" w:hAnsi="Times New Roman"/>
          <w:sz w:val="24"/>
        </w:rPr>
        <w:t>La Tabla R1 del bloque de apéndices internos, Caracterización completa de muestras, presenta la desagregación de los resultados fisicoquímicos utilizados en esta sección.</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resumida de las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14,123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0,372</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77,593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22,407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29,041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r>
    </w:tbl>
    <w:p>
      <w:pPr>
        <w:pStyle w:val="Rótuloacadémico"/>
      </w:pPr>
      <w:r>
        <w:rPr>
          <w:rFonts w:ascii="Times New Roman" w:hAnsi="Times New Roman"/>
          <w:b/>
          <w:color w:val="000000"/>
        </w:rPr>
        <w:t>Figura 1</w:t>
      </w:r>
    </w:p>
    <w:p>
      <w:pPr>
        <w:pStyle w:val="Descripciónacadémica"/>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669280" cy="3962194"/>
            <wp:docPr id="1" name="Picture 1"/>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9"/>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2</w:t>
      </w:r>
    </w:p>
    <w:p>
      <w:pPr>
        <w:pStyle w:val="Descripciónacadémica"/>
      </w:pPr>
      <w:r>
        <w:rPr>
          <w:rFonts w:ascii="Times New Roman" w:hAnsi="Times New Roman"/>
          <w:i/>
          <w:color w:val="000000"/>
        </w:rPr>
        <w:t>Sólidos volátiles y cenizas por tipo de muestra.</w:t>
      </w:r>
    </w:p>
    <w:p>
      <w:pPr>
        <w:ind w:left="0" w:firstLine="0"/>
        <w:jc w:val="center"/>
      </w:pPr>
      <w:r>
        <w:drawing>
          <wp:inline xmlns:a="http://schemas.openxmlformats.org/drawingml/2006/main" xmlns:pic="http://schemas.openxmlformats.org/drawingml/2006/picture">
            <wp:extent cx="5669280" cy="3962194"/>
            <wp:docPr id="2" name="Picture 2"/>
            <wp:cNvGraphicFramePr>
              <a:graphicFrameLocks noChangeAspect="1"/>
            </wp:cNvGraphicFramePr>
            <a:graphic>
              <a:graphicData uri="http://schemas.openxmlformats.org/drawingml/2006/picture">
                <pic:pic>
                  <pic:nvPicPr>
                    <pic:cNvPr id="0" name="fig_02_caracterizacion_solidos_volatiles_cenizas.png"/>
                    <pic:cNvPicPr/>
                  </pic:nvPicPr>
                  <pic:blipFill>
                    <a:blip r:embed="rId10"/>
                    <a:stretch>
                      <a:fillRect/>
                    </a:stretch>
                  </pic:blipFill>
                  <pic:spPr>
                    <a:xfrm>
                      <a:off x="0" y="0"/>
                      <a:ext cx="5669280" cy="3962194"/>
                    </a:xfrm>
                    <a:prstGeom prst="rect"/>
                  </pic:spPr>
                </pic:pic>
              </a:graphicData>
            </a:graphic>
          </wp:inline>
        </w:drawing>
      </w:r>
    </w:p>
    <w:p>
      <w:pPr>
        <w:pStyle w:val="Heading2"/>
      </w:pPr>
      <w:r>
        <w:rPr>
          <w:rFonts w:ascii="Times New Roman" w:hAnsi="Times New Roman"/>
          <w:color w:val="000000"/>
        </w:rPr>
        <w:t>2. Flujos del inventario de ciclo de vida</w:t>
      </w:r>
    </w:p>
    <w:p>
      <w:pPr>
        <w:spacing w:line="240" w:lineRule="auto" w:before="0" w:after="0"/>
        <w:ind w:left="100" w:firstLine="719"/>
        <w:jc w:val="both"/>
      </w:pPr>
      <w:r>
        <w:rPr>
          <w:rFonts w:ascii="Times New Roman" w:hAnsi="Times New Roman"/>
          <w:sz w:val="24"/>
        </w:rPr>
        <w:t>Estos valores se presentan como flujos anuales estimados del inventario, manteniendo como referencia metodológica la unidad funcional de 1 kg de estiércol fresco, tal y como fue recolectado del módulo lechero.</w:t>
      </w:r>
    </w:p>
    <w:p>
      <w:pPr>
        <w:spacing w:line="240" w:lineRule="auto" w:before="0" w:after="0"/>
        <w:ind w:left="100" w:firstLine="719"/>
        <w:jc w:val="both"/>
      </w:pPr>
      <w:r>
        <w:rPr>
          <w:rFonts w:ascii="Times New Roman" w:hAnsi="Times New Roman"/>
          <w:sz w:val="24"/>
        </w:rPr>
        <w:t>Los flujos del inventario se expresaron como masa equivalente total por año para cada etapa. B2: Aplicación de purines en campo de pastoreo presentó la mayor masa equivalente total, con 76 557,27 kg eq/año. En el Escenario A, A4: Aplicación de aguas verdes en campos de pastoreo dominó la masa equivalente, con 71 789,81 kg eq/año.</w:t>
      </w:r>
    </w:p>
    <w:p>
      <w:pPr>
        <w:spacing w:line="240" w:lineRule="auto" w:before="0" w:after="0"/>
        <w:ind w:left="100" w:firstLine="719"/>
        <w:jc w:val="both"/>
      </w:pPr>
      <w:r>
        <w:rPr>
          <w:rFonts w:ascii="Times New Roman" w:hAnsi="Times New Roman"/>
          <w:sz w:val="24"/>
        </w:rPr>
        <w:t>La masa equivalente de A4 integra el componente líquido de aguas verdes y una fracción de boñiga asociada a esa línea. La masa equivalente de B2 integra agua de lavado y boñiga fresca incorporada al purín aplicado en campo.</w:t>
      </w:r>
    </w:p>
    <w:p>
      <w:pPr>
        <w:spacing w:line="240" w:lineRule="auto" w:before="0" w:after="0"/>
        <w:ind w:left="100" w:firstLine="719"/>
        <w:jc w:val="both"/>
      </w:pPr>
      <w:r>
        <w:rPr>
          <w:rFonts w:ascii="Times New Roman" w:hAnsi="Times New Roman"/>
          <w:sz w:val="24"/>
        </w:rPr>
        <w:t>Las etapas con menor masa equivalente fueron A3: Almacenamiento de aguas verdes y A2: Lombricompostaje. La Tabla 2 presenta la masa equivalente total por etapa y la Figura 3 resume su distribución por escenario.</w:t>
      </w:r>
    </w:p>
    <w:p>
      <w:pPr>
        <w:spacing w:line="240" w:lineRule="auto" w:before="0" w:after="0"/>
        <w:ind w:left="100" w:firstLine="719"/>
        <w:jc w:val="both"/>
      </w:pPr>
      <w:r>
        <w:rPr>
          <w:rFonts w:ascii="Times New Roman" w:hAnsi="Times New Roman"/>
          <w:sz w:val="24"/>
        </w:rPr>
        <w:t>La Tabla R2 del bloque de apéndices internos, Flujos completos del inventario, contiene la desagregación de los flujos empleados para construir el ICV.</w:t>
      </w:r>
    </w:p>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Masa equivalente total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 (kg eq/año)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4 767,46</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1 472,4</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5 126,3</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76 557,27</w:t>
            </w:r>
          </w:p>
        </w:tc>
      </w:tr>
    </w:tbl>
    <w:p>
      <w:pPr>
        <w:pStyle w:val="Rótuloacadémico"/>
      </w:pPr>
      <w:r>
        <w:rPr>
          <w:rFonts w:ascii="Times New Roman" w:hAnsi="Times New Roman"/>
          <w:b/>
          <w:color w:val="000000"/>
        </w:rPr>
        <w:t>Figura 3</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3" name="Picture 3"/>
            <wp:cNvGraphicFramePr>
              <a:graphicFrameLocks noChangeAspect="1"/>
            </wp:cNvGraphicFramePr>
            <a:graphic>
              <a:graphicData uri="http://schemas.openxmlformats.org/drawingml/2006/picture">
                <pic:pic>
                  <pic:nvPicPr>
                    <pic:cNvPr id="0" name="fig_04_flujos_masa_equivalente_total.png"/>
                    <pic:cNvPicPr/>
                  </pic:nvPicPr>
                  <pic:blipFill>
                    <a:blip r:embed="rId11"/>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3. Parámetros utilizados en el modelo ACV</w:t>
      </w:r>
    </w:p>
    <w:p>
      <w:pPr>
        <w:spacing w:line="240" w:lineRule="auto" w:before="0" w:after="0"/>
        <w:ind w:left="100" w:firstLine="719"/>
        <w:jc w:val="both"/>
      </w:pPr>
      <w:r>
        <w:rPr>
          <w:rFonts w:ascii="Times New Roman" w:hAnsi="Times New Roman"/>
          <w:sz w:val="24"/>
        </w:rPr>
        <w:t>Los parámetros utilizados en el modelo se organizaron por escenario y etapa. La tabla final distingue entre N total reportado (%), que corresponde al nitrógeno total reportado en porcentaje, y Fracción másica de N, que corresponde a la fracción másica usada en ecuaciones de nitrógeno. La relación aplicada fue Fracción másica de N = N total reportado (%) / 100.</w:t>
      </w:r>
    </w:p>
    <w:p>
      <w:pPr>
        <w:spacing w:line="240" w:lineRule="auto" w:before="0" w:after="0"/>
        <w:ind w:left="100" w:firstLine="719"/>
        <w:jc w:val="both"/>
      </w:pPr>
      <w:r>
        <w:rPr>
          <w:rFonts w:ascii="Times New Roman" w:hAnsi="Times New Roman"/>
          <w:sz w:val="24"/>
        </w:rPr>
        <w:t>A2: Lombricompostaje aparece como etapa con modelo Factor medido. Las demás etapas se calculan con modelo IPCC según el sistema de manejo asignado. La Tabla 3 resume los parámetros principales.</w:t>
      </w:r>
    </w:p>
    <w:p>
      <w:pPr>
        <w:spacing w:line="240" w:lineRule="auto" w:before="0" w:after="0"/>
        <w:ind w:left="100" w:firstLine="719"/>
        <w:jc w:val="both"/>
      </w:pPr>
      <w:r>
        <w:rPr>
          <w:rFonts w:ascii="Times New Roman" w:hAnsi="Times New Roman"/>
          <w:sz w:val="24"/>
        </w:rPr>
        <w:t>Los factores vinculados con las ecuaciones de emisiones siguen la metodología IPCC, mientras que los factores Factor medidos por unidad de residuo seco utilizados en A2 proceden de Jjagwe et al. (2019).</w:t>
      </w:r>
    </w:p>
    <w:p>
      <w:pPr>
        <w:spacing w:line="240" w:lineRule="auto" w:before="0" w:after="0"/>
        <w:ind w:left="100" w:firstLine="719"/>
        <w:jc w:val="both"/>
      </w:pPr>
      <w:r>
        <w:rPr>
          <w:rFonts w:ascii="Times New Roman" w:hAnsi="Times New Roman"/>
          <w:sz w:val="24"/>
        </w:rPr>
        <w:t>La Tabla R3 del bloque de apéndices internos, Parámetros completos del modelo ACV, amplía los parámetros por escenario y etapa; la Tabla R4, Factores completos de emisión y caracterización, documenta los factores asociados.</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(kg eq/año)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Fracción másica de 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reportado (%)</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0,0072</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0,0114</w:t>
            </w:r>
          </w:p>
        </w:tc>
      </w:tr>
    </w:tbl>
    <w:p>
      <w:pPr>
        <w:pStyle w:val="Heading2"/>
      </w:pPr>
      <w:r>
        <w:rPr>
          <w:rFonts w:ascii="Times New Roman" w:hAnsi="Times New Roman"/>
          <w:color w:val="000000"/>
        </w:rPr>
        <w:t>4. Emisiones estimadas por etapa y escenario</w:t>
      </w:r>
    </w:p>
    <w:p>
      <w:pPr>
        <w:spacing w:line="240" w:lineRule="auto" w:before="0" w:after="0"/>
        <w:ind w:left="100" w:firstLine="719"/>
        <w:jc w:val="both"/>
      </w:pPr>
      <w:r>
        <w:rPr>
          <w:rFonts w:ascii="Times New Roman" w:hAnsi="Times New Roman"/>
          <w:sz w:val="24"/>
        </w:rPr>
        <w:t>Las emisiones consolidadas muestran diferencias entre escenarios y sustancias. El Escenario A presentó 9,55 kg CH₄/año, 0,79 kg N₂O/año, 5,23 kg NH₃/año, 19,06 kg NO₃⁻/año y 33,65 kg CO₂/año. El Escenario B presentó 80,59 kg CH₄/año, 0,31 kg N₂O/año, 6,35 kg NH₃/año y 23,17 kg NO₃⁻/año.</w:t>
      </w:r>
    </w:p>
    <w:p>
      <w:pPr>
        <w:spacing w:line="240" w:lineRule="auto" w:before="0" w:after="0"/>
        <w:ind w:left="100" w:firstLine="719"/>
        <w:jc w:val="both"/>
      </w:pPr>
      <w:r>
        <w:rPr>
          <w:rFonts w:ascii="Times New Roman" w:hAnsi="Times New Roman"/>
          <w:sz w:val="24"/>
        </w:rPr>
        <w:t>B1: Almacenamiento de purines presentó la mayor contribución de CH₄. A1: Precomposteo presentó la mayor emisión de N₂O. A2: Lombricompostaje reportó CO₂ por el uso de un factor Factor medido. La Tabla 4 resume las emisiones anuales por escenario y sustancia, y la Figura 4 presenta las emisiones de CH₄ por etapa.</w:t>
      </w:r>
    </w:p>
    <w:p>
      <w:pPr>
        <w:spacing w:line="240" w:lineRule="auto" w:before="0" w:after="0"/>
        <w:ind w:left="100" w:firstLine="719"/>
        <w:jc w:val="both"/>
      </w:pPr>
      <w:r>
        <w:rPr>
          <w:rFonts w:ascii="Times New Roman" w:hAnsi="Times New Roman"/>
          <w:sz w:val="24"/>
        </w:rPr>
        <w:t>La Tabla R5 del bloque de apéndices internos, Emisiones completas por etapa, presenta la desagregación por sustancia, escenario y etapa. Además, el Apéndice R9, Figuras complementarias, reúne las representaciones gráficas que respaldan la interpretación de la caracterización, los flujos, las emisiones y la comparación de escenarios.</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Emisiones anuales por escenario y sustancia.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33,65</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80,59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23,16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Figura 4</w:t>
      </w:r>
    </w:p>
    <w:p>
      <w:pPr>
        <w:pStyle w:val="Descripciónacadémica"/>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669280" cy="4200583"/>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2"/>
                    <a:stretch>
                      <a:fillRect/>
                    </a:stretch>
                  </pic:blipFill>
                  <pic:spPr>
                    <a:xfrm>
                      <a:off x="0" y="0"/>
                      <a:ext cx="5669280" cy="4200583"/>
                    </a:xfrm>
                    <a:prstGeom prst="rect"/>
                  </pic:spPr>
                </pic:pic>
              </a:graphicData>
            </a:graphic>
          </wp:inline>
        </w:drawing>
      </w:r>
    </w:p>
    <w:p>
      <w:pPr>
        <w:pStyle w:val="Heading2"/>
      </w:pPr>
      <w:r>
        <w:rPr>
          <w:rFonts w:ascii="Times New Roman" w:hAnsi="Times New Roman"/>
          <w:color w:val="000000"/>
        </w:rPr>
        <w:t>5. Impactos ambientales por etapa</w:t>
      </w:r>
    </w:p>
    <w:p>
      <w:pPr>
        <w:spacing w:line="240" w:lineRule="auto" w:before="0" w:after="0"/>
        <w:ind w:left="100" w:firstLine="719"/>
        <w:jc w:val="both"/>
      </w:pPr>
      <w:r>
        <w:rPr>
          <w:rFonts w:ascii="Times New Roman" w:hAnsi="Times New Roman"/>
          <w:sz w:val="24"/>
        </w:rPr>
        <w:t>Los impactos ambientales por etapa muestran que B1: Almacenamiento de purines presentó la mayor contribución al potencial de calentamiento global, con 1 737,81 kg CO₂-eq/año. En el Escenario A, A1: Precomposteo presentó la mayor contribución a esta categoría.</w:t>
      </w:r>
    </w:p>
    <w:p>
      <w:pPr>
        <w:spacing w:line="240" w:lineRule="auto" w:before="0" w:after="0"/>
        <w:ind w:left="100" w:firstLine="719"/>
        <w:jc w:val="both"/>
      </w:pPr>
      <w:r>
        <w:rPr>
          <w:rFonts w:ascii="Times New Roman" w:hAnsi="Times New Roman"/>
          <w:sz w:val="24"/>
        </w:rPr>
        <w:t>Para eutrofización, B1: Almacenamiento de purines presentó el valor más alto, seguido por A1: Precomposteo. A2: Lombricompostaje registró 0 kg PO₄-eq/año en la tabla final, debido a que no reporta emisiones de NH₃ ni NO₃⁻ en la tabla de emisiones por etapa. La Tabla 5 resume los impactos por etapa; la Figura 5 presenta calentamiento global y la Figura 6 presenta eutrofización.</w:t>
      </w:r>
    </w:p>
    <w:p>
      <w:pPr>
        <w:spacing w:line="240" w:lineRule="auto" w:before="0" w:after="0"/>
        <w:ind w:left="100" w:firstLine="719"/>
        <w:jc w:val="both"/>
      </w:pPr>
      <w:r>
        <w:rPr>
          <w:rFonts w:ascii="Times New Roman" w:hAnsi="Times New Roman"/>
          <w:sz w:val="24"/>
        </w:rPr>
        <w:t>Los factores de caracterización para calentamiento global se referencian al IMN (2021), mientras que los factores de eutrofización se basan en Ecobilan (1999, como se citó en Vallejo, 2004).</w:t>
      </w:r>
    </w:p>
    <w:p>
      <w:pPr>
        <w:spacing w:line="240" w:lineRule="auto" w:before="0" w:after="0"/>
        <w:ind w:left="100" w:firstLine="719"/>
        <w:jc w:val="both"/>
      </w:pPr>
      <w:r>
        <w:rPr>
          <w:rFonts w:ascii="Times New Roman" w:hAnsi="Times New Roman"/>
          <w:sz w:val="24"/>
        </w:rPr>
        <w:t>La Tabla R6 del bloque de apéndices internos, Impactos completos por etapa, presenta los resultados desagregados por categoría de impacto.</w:t>
      </w:r>
    </w:p>
    <w:p>
      <w:pPr>
        <w:pStyle w:val="Rótuloacadémico"/>
      </w:pPr>
      <w:r>
        <w:rPr>
          <w:rFonts w:ascii="Times New Roman" w:hAnsi="Times New Roman"/>
          <w:b/>
          <w:color w:val="000000"/>
        </w:rPr>
        <w:t>Tabla 5</w:t>
      </w:r>
    </w:p>
    <w:p>
      <w:pPr>
        <w:pStyle w:val="Descripciónacadémica"/>
      </w:pPr>
      <w:r>
        <w:rPr>
          <w:rFonts w:ascii="Times New Roman" w:hAnsi="Times New Roman"/>
          <w:i/>
          <w:color w:val="000000"/>
        </w:rPr>
        <w:t>Impactos ambientales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(kg PO₄-eq/año)</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241,72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86,31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121,65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0,19</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0,97</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1 737,81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2,78</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49,38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w:t>
            </w:r>
          </w:p>
        </w:tc>
      </w:tr>
    </w:tbl>
    <w:p>
      <w:pPr>
        <w:pStyle w:val="Rótuloacadémico"/>
      </w:pPr>
      <w:r>
        <w:rPr>
          <w:rFonts w:ascii="Times New Roman" w:hAnsi="Times New Roman"/>
          <w:b/>
          <w:color w:val="000000"/>
        </w:rPr>
        <w:t>Figura 5</w:t>
      </w:r>
    </w:p>
    <w:p>
      <w:pPr>
        <w:pStyle w:val="Descripciónacadémica"/>
      </w:pPr>
      <w:r>
        <w:rPr>
          <w:rFonts w:ascii="Times New Roman" w:hAnsi="Times New Roman"/>
          <w:i/>
          <w:color w:val="000000"/>
        </w:rPr>
        <w:t>Potencial de calentamiento global por etapa y escenario.</w:t>
      </w:r>
    </w:p>
    <w:p>
      <w:pPr>
        <w:ind w:left="0" w:firstLine="0"/>
        <w:jc w:val="center"/>
      </w:pPr>
      <w:r>
        <w:drawing>
          <wp:inline xmlns:a="http://schemas.openxmlformats.org/drawingml/2006/main" xmlns:pic="http://schemas.openxmlformats.org/drawingml/2006/picture">
            <wp:extent cx="5669280" cy="2717699"/>
            <wp:docPr id="5" name="Picture 5"/>
            <wp:cNvGraphicFramePr>
              <a:graphicFrameLocks noChangeAspect="1"/>
            </wp:cNvGraphicFramePr>
            <a:graphic>
              <a:graphicData uri="http://schemas.openxmlformats.org/drawingml/2006/picture">
                <pic:pic>
                  <pic:nvPicPr>
                    <pic:cNvPr id="0" name="fig_11_impactos_calentamiento_global_etapa.png"/>
                    <pic:cNvPicPr/>
                  </pic:nvPicPr>
                  <pic:blipFill>
                    <a:blip r:embed="rId13"/>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6</w:t>
      </w:r>
    </w:p>
    <w:p>
      <w:pPr>
        <w:pStyle w:val="Descripciónacadémica"/>
      </w:pPr>
      <w:r>
        <w:rPr>
          <w:rFonts w:ascii="Times New Roman" w:hAnsi="Times New Roman"/>
          <w:i/>
          <w:color w:val="000000"/>
        </w:rPr>
        <w:t>Potencial de eutrofización por etapa y escenario.</w:t>
      </w:r>
    </w:p>
    <w:p>
      <w:pPr>
        <w:ind w:left="0" w:firstLine="0"/>
        <w:jc w:val="center"/>
      </w:pPr>
      <w:r>
        <w:drawing>
          <wp:inline xmlns:a="http://schemas.openxmlformats.org/drawingml/2006/main" xmlns:pic="http://schemas.openxmlformats.org/drawingml/2006/picture">
            <wp:extent cx="5669280" cy="2717699"/>
            <wp:docPr id="6" name="Picture 6"/>
            <wp:cNvGraphicFramePr>
              <a:graphicFrameLocks noChangeAspect="1"/>
            </wp:cNvGraphicFramePr>
            <a:graphic>
              <a:graphicData uri="http://schemas.openxmlformats.org/drawingml/2006/picture">
                <pic:pic>
                  <pic:nvPicPr>
                    <pic:cNvPr id="0" name="fig_12_impactos_eutrofizacion_etapa.png"/>
                    <pic:cNvPicPr/>
                  </pic:nvPicPr>
                  <pic:blipFill>
                    <a:blip r:embed="rId14"/>
                    <a:stretch>
                      <a:fillRect/>
                    </a:stretch>
                  </pic:blipFill>
                  <pic:spPr>
                    <a:xfrm>
                      <a:off x="0" y="0"/>
                      <a:ext cx="5669280" cy="2717699"/>
                    </a:xfrm>
                    <a:prstGeom prst="rect"/>
                  </pic:spPr>
                </pic:pic>
              </a:graphicData>
            </a:graphic>
          </wp:inline>
        </w:drawing>
      </w:r>
    </w:p>
    <w:p>
      <w:pPr>
        <w:pStyle w:val="Heading2"/>
      </w:pPr>
      <w:r>
        <w:rPr>
          <w:rFonts w:ascii="Times New Roman" w:hAnsi="Times New Roman"/>
          <w:color w:val="000000"/>
        </w:rPr>
        <w:t>6. Impactos totales por escenario</w:t>
      </w:r>
    </w:p>
    <w:p>
      <w:pPr>
        <w:spacing w:line="240" w:lineRule="auto" w:before="0" w:after="0"/>
        <w:ind w:left="100" w:firstLine="719"/>
        <w:jc w:val="both"/>
      </w:pPr>
      <w:r>
        <w:rPr>
          <w:rFonts w:ascii="Times New Roman" w:hAnsi="Times New Roman"/>
          <w:sz w:val="24"/>
        </w:rPr>
        <w:t>El Escenario A alcanzó 478,78 kg CO₂-eq/año para calentamiento global y 3,64 kg PO₄-eq/año para eutrofización. El Escenario B alcanzó 1 787,19 kg CO₂-eq/año para calentamiento global y 4,42 kg PO₄-eq/año para eutrofización.</w:t>
      </w:r>
    </w:p>
    <w:p>
      <w:pPr>
        <w:spacing w:line="240" w:lineRule="auto" w:before="0" w:after="0"/>
        <w:ind w:left="100" w:firstLine="719"/>
        <w:jc w:val="both"/>
      </w:pPr>
      <w:r>
        <w:rPr>
          <w:rFonts w:ascii="Times New Roman" w:hAnsi="Times New Roman"/>
          <w:sz w:val="24"/>
        </w:rPr>
        <w:t>La Tabla 6 presenta la agregación por escenario y conserva las categorías de impacto y unidades definidas en las tablas finales validadas.</w:t>
      </w:r>
    </w:p>
    <w:p>
      <w:pPr>
        <w:spacing w:line="240" w:lineRule="auto" w:before="0" w:after="0"/>
        <w:ind w:left="100" w:firstLine="719"/>
        <w:jc w:val="both"/>
      </w:pPr>
      <w:r>
        <w:rPr>
          <w:rFonts w:ascii="Times New Roman" w:hAnsi="Times New Roman"/>
          <w:sz w:val="24"/>
        </w:rPr>
        <w:t>La Tabla R7 del bloque de apéndices internos, Impactos totales completos por escenario, presenta el detalle de la agregación utilizada en esta comparación.</w:t>
      </w:r>
    </w:p>
    <w:p>
      <w:pPr>
        <w:pStyle w:val="Rótuloacadémico"/>
      </w:pPr>
      <w:r>
        <w:rPr>
          <w:rFonts w:ascii="Times New Roman" w:hAnsi="Times New Roman"/>
          <w:b/>
          <w:color w:val="000000"/>
        </w:rPr>
        <w:t>Tabla 6</w:t>
      </w:r>
    </w:p>
    <w:p>
      <w:pPr>
        <w:pStyle w:val="Descripciónacadémica"/>
      </w:pPr>
      <w:r>
        <w:rPr>
          <w:rFonts w:ascii="Times New Roman" w:hAnsi="Times New Roman"/>
          <w:i/>
          <w:color w:val="000000"/>
        </w:rPr>
        <w:t>Impactos ambientales totales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(kg PO₄-eq/año)</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478,78</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3,64</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1 787,19</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w:t>
            </w:r>
          </w:p>
        </w:tc>
      </w:tr>
    </w:tbl>
    <w:p>
      <w:pPr>
        <w:pStyle w:val="Heading2"/>
      </w:pPr>
      <w:r>
        <w:rPr>
          <w:rFonts w:ascii="Times New Roman" w:hAnsi="Times New Roman"/>
          <w:color w:val="000000"/>
        </w:rPr>
        <w:t>7. Comparación entre escenarios</w:t>
      </w:r>
    </w:p>
    <w:p>
      <w:pPr>
        <w:spacing w:line="240" w:lineRule="auto" w:before="0" w:after="0"/>
        <w:ind w:left="100" w:firstLine="719"/>
        <w:jc w:val="both"/>
      </w:pPr>
      <w:r>
        <w:rPr>
          <w:rFonts w:ascii="Times New Roman" w:hAnsi="Times New Roman"/>
          <w:sz w:val="24"/>
        </w:rPr>
        <w:t>La comparación entre escenarios muestra mayores impactos totales en el Escenario B para las dos categorías evaluadas. En calentamiento global, la diferencia absoluta B menos A fue de 1 308,41 kg CO₂-eq/año, equivalente a 273,28 % respecto al Escenario A.</w:t>
      </w:r>
    </w:p>
    <w:p>
      <w:pPr>
        <w:spacing w:line="240" w:lineRule="auto" w:before="0" w:after="0"/>
        <w:ind w:left="100" w:firstLine="719"/>
        <w:jc w:val="both"/>
      </w:pPr>
      <w:r>
        <w:rPr>
          <w:rFonts w:ascii="Times New Roman" w:hAnsi="Times New Roman"/>
          <w:sz w:val="24"/>
        </w:rPr>
        <w:t>En eutrofización, la diferencia absoluta fue de 0,785 kg PO₄-eq/año, equivalente a 21,58 % respecto al Escenario A. La Tabla 7 resume la comparación entre escenarios y la Figura 7 presenta la diferencia porcentual por categoría de impacto.</w:t>
      </w:r>
    </w:p>
    <w:p>
      <w:pPr>
        <w:spacing w:line="240" w:lineRule="auto" w:before="0" w:after="0"/>
        <w:ind w:left="100" w:firstLine="719"/>
        <w:jc w:val="both"/>
      </w:pPr>
      <w:r>
        <w:rPr>
          <w:rFonts w:ascii="Times New Roman" w:hAnsi="Times New Roman"/>
          <w:sz w:val="24"/>
        </w:rPr>
        <w:t>La Tabla R8 del bloque de apéndices internos, Comparación completa de escenarios, amplía las diferencias absolutas y porcentuales. La relación entre los contenidos, sus bases de información y las figuras asociadas se documenta en el Apéndice R10, Correspondencia entre tablas, figuras y archivos fuente.</w:t>
      </w:r>
    </w:p>
    <w:p>
      <w:pPr>
        <w:pStyle w:val="Rótuloacadémico"/>
      </w:pPr>
      <w:r>
        <w:rPr>
          <w:rFonts w:ascii="Times New Roman" w:hAnsi="Times New Roman"/>
          <w:b/>
          <w:color w:val="000000"/>
        </w:rPr>
        <w:t>Tabla 7</w:t>
      </w:r>
    </w:p>
    <w:p>
      <w:pPr>
        <w:pStyle w:val="Descripciónacadémica"/>
      </w:pPr>
      <w:r>
        <w:rPr>
          <w:rFonts w:ascii="Times New Roman" w:hAnsi="Times New Roman"/>
          <w:i/>
          <w:color w:val="000000"/>
        </w:rPr>
        <w:t>Comparación de impactos ambientales entre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478,779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1 787,193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1 308,414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21,58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pPr>
      <w:r>
        <w:rPr>
          <w:rFonts w:ascii="Times New Roman" w:hAnsi="Times New Roman"/>
          <w:b/>
          <w:color w:val="000000"/>
        </w:rPr>
        <w:t>Figura 7</w:t>
      </w:r>
    </w:p>
    <w:p>
      <w:pPr>
        <w:pStyle w:val="Descripciónacadémica"/>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669280" cy="4092512"/>
            <wp:docPr id="7" name="Picture 7"/>
            <wp:cNvGraphicFramePr>
              <a:graphicFrameLocks noChangeAspect="1"/>
            </wp:cNvGraphicFramePr>
            <a:graphic>
              <a:graphicData uri="http://schemas.openxmlformats.org/drawingml/2006/picture">
                <pic:pic>
                  <pic:nvPicPr>
                    <pic:cNvPr id="0" name="fig_15_comparacion_diferencia_porcentual.png"/>
                    <pic:cNvPicPr/>
                  </pic:nvPicPr>
                  <pic:blipFill>
                    <a:blip r:embed="rId15"/>
                    <a:stretch>
                      <a:fillRect/>
                    </a:stretch>
                  </pic:blipFill>
                  <pic:spPr>
                    <a:xfrm>
                      <a:off x="0" y="0"/>
                      <a:ext cx="5669280" cy="4092512"/>
                    </a:xfrm>
                    <a:prstGeom prst="rect"/>
                  </pic:spPr>
                </pic:pic>
              </a:graphicData>
            </a:graphic>
          </wp:inline>
        </w:drawing>
      </w:r>
    </w:p>
    <w:p>
      <w:pPr>
        <w:pStyle w:val="Heading1"/>
      </w:pPr>
      <w:r>
        <w:rPr>
          <w:rFonts w:ascii="Times New Roman" w:hAnsi="Times New Roman"/>
          <w:color w:val="000000"/>
        </w:rPr>
        <w:t>Apéndices internos de resultados</w:t>
      </w:r>
    </w:p>
    <w:p>
      <w:pPr>
        <w:spacing w:line="240" w:lineRule="auto" w:before="0" w:after="0"/>
        <w:ind w:left="100" w:firstLine="719"/>
        <w:jc w:val="both"/>
      </w:pPr>
      <w:r>
        <w:rPr>
          <w:rFonts w:ascii="Times New Roman" w:hAnsi="Times New Roman"/>
          <w:sz w:val="24"/>
        </w:rPr>
        <w:t>Los apéndices internos contienen las Tablas R1, R2, R3, R4, R5, R6, R7 y R8, las Figuras R1 a R8 y la Tabla R10 de correspondencia. Las figuras complementarias de emisiones de N₂O, NH₃, NO₃⁻ y CO₂ respaldan la interpretación de las emisiones por sustancia.</w:t>
      </w:r>
    </w:p>
    <w:p>
      <w:pPr>
        <w:pStyle w:val="Rótuloacadémico"/>
      </w:pPr>
      <w:r>
        <w:rPr>
          <w:rFonts w:ascii="Times New Roman" w:hAnsi="Times New Roman"/>
          <w:b/>
          <w:color w:val="000000"/>
        </w:rPr>
        <w:t>Tabla R1</w:t>
      </w:r>
    </w:p>
    <w:p>
      <w:pPr>
        <w:pStyle w:val="Descripciónacadémica"/>
      </w:pPr>
      <w:r>
        <w:rPr>
          <w:rFonts w:ascii="Times New Roman" w:hAnsi="Times New Roman"/>
          <w:i/>
          <w:color w:val="000000"/>
        </w:rPr>
        <w:t>Caracterización completa de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analizado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Jornada de muestreo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sólidos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nitrógeno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Desviación estándar</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85,7698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0,6205</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14,2302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0,6205</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14,123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0,6677</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0,6677</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3 716,6667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77,593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3,9269</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22,407</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3,9269</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29,0414</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4,256</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4,256</w:t>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2025-11-10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24 250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R2</w:t>
      </w:r>
    </w:p>
    <w:p>
      <w:pPr>
        <w:pStyle w:val="Descripciónacadémica"/>
      </w:pPr>
      <w:r>
        <w:rPr>
          <w:rFonts w:ascii="Times New Roman" w:hAnsi="Times New Roman"/>
          <w:i/>
          <w:color w:val="000000"/>
        </w:rPr>
        <w:t>Flujos completos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71 430,9693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71 430,9693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bl>
    <w:p>
      <w:pPr>
        <w:pStyle w:val="Rótuloacadémico"/>
      </w:pPr>
      <w:r>
        <w:rPr>
          <w:rFonts w:ascii="Times New Roman" w:hAnsi="Times New Roman"/>
          <w:b/>
          <w:color w:val="000000"/>
        </w:rPr>
        <w:t>Tabla R3</w:t>
      </w:r>
    </w:p>
    <w:p>
      <w:pPr>
        <w:pStyle w:val="Descripciónacadémica"/>
      </w:pPr>
      <w:r>
        <w:rPr>
          <w:rFonts w:ascii="Times New Roman" w:hAnsi="Times New Roman"/>
          <w:i/>
          <w:color w:val="000000"/>
        </w:rPr>
        <w:t>Parámetros completos del modelo ACV.</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2,425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70,9586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0,3717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85,877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0,0114</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bl>
    <w:p>
      <w:pPr>
        <w:pStyle w:val="Rótuloacadémico"/>
      </w:pPr>
      <w:r>
        <w:rPr>
          <w:rFonts w:ascii="Times New Roman" w:hAnsi="Times New Roman"/>
          <w:b/>
          <w:color w:val="000000"/>
        </w:rPr>
        <w:t>Tabla R4</w:t>
      </w:r>
    </w:p>
    <w:p>
      <w:pPr>
        <w:pStyle w:val="Descripciónacadémica"/>
      </w:pPr>
      <w:r>
        <w:rPr>
          <w:rFonts w:ascii="Times New Roman" w:hAnsi="Times New Roman"/>
          <w:i/>
          <w:color w:val="000000"/>
        </w:rPr>
        <w:t>Factores completos de emisión y caracterización.</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emision 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medido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Factor Factor medido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B0 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SV</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de estimación de CH₄</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modelo con estructura IPCC</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o cabeza equivalente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 unidad equivalente del modelo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cdg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 ausencia de codigestión</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 + NOx-N volatilizado)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ecuaciones 5 y 16</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lixiviado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ecuaciones 6 y 18</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gasm</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16</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 leach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18</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 N2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ecuación 24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 4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2 O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 3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3 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complementario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kg por 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residuo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Jjagwe et al. (2019)</w:t>
            </w:r>
          </w:p>
        </w:tc>
      </w:tr>
    </w:tbl>
    <w:p>
      <w:pPr>
        <w:pStyle w:val="Rótuloacadémico"/>
      </w:pPr>
      <w:r>
        <w:rPr>
          <w:rFonts w:ascii="Times New Roman" w:hAnsi="Times New Roman"/>
          <w:b/>
          <w:color w:val="000000"/>
        </w:rPr>
        <w:t>Tabla R5</w:t>
      </w:r>
    </w:p>
    <w:p>
      <w:pPr>
        <w:pStyle w:val="Descripciónacadémica"/>
      </w:pPr>
      <w:r>
        <w:rPr>
          <w:rFonts w:ascii="Times New Roman" w:hAnsi="Times New Roman"/>
          <w:i/>
          <w:color w:val="000000"/>
        </w:rPr>
        <w:t>Emisiones completas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0,1169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0,0107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3,5546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12,9587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4 767,4568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Dioxido de carbono Factor Factor medido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33,6517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2,5074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1 472,3957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5,6411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0,0103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0,2794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1,0187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358,8408</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0,0214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1,3919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5,0745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71 789,8101</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80,5873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3,992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14,5533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5 126,2977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0,0825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0,0404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2,3619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8,6107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76 557,267</w:t>
            </w:r>
          </w:p>
        </w:tc>
      </w:tr>
    </w:tbl>
    <w:p>
      <w:pPr>
        <w:pStyle w:val="Rótuloacadémico"/>
      </w:pPr>
      <w:r>
        <w:rPr>
          <w:rFonts w:ascii="Times New Roman" w:hAnsi="Times New Roman"/>
          <w:b/>
          <w:color w:val="000000"/>
        </w:rPr>
        <w:t>Tabla R6</w:t>
      </w:r>
    </w:p>
    <w:p>
      <w:pPr>
        <w:pStyle w:val="Descripciónacadémica"/>
      </w:pPr>
      <w:r>
        <w:rPr>
          <w:rFonts w:ascii="Times New Roman" w:hAnsi="Times New Roman"/>
          <w:i/>
          <w:color w:val="000000"/>
        </w:rPr>
        <w:t>Impactos completos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 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caracterización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del factor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equivalente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equivalente</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29,5101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0,6846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212,2105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3,5546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1,2441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12,9587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1,2311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52,6551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33,6517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33,6517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5,6411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118,4634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0,0103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3,1835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0,2794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0,0978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1,0187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0,0968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29,1005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1,3919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0,4872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5,0745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80,5873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1 692,334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45,4789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1,3972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14,5533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1,3826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49,3798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2,3619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0,8267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8,6107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bl>
    <w:p>
      <w:pPr>
        <w:pStyle w:val="Rótuloacadémico"/>
      </w:pPr>
      <w:r>
        <w:rPr>
          <w:rFonts w:ascii="Times New Roman" w:hAnsi="Times New Roman"/>
          <w:b/>
          <w:color w:val="000000"/>
        </w:rPr>
        <w:t>Tabla R7</w:t>
      </w:r>
    </w:p>
    <w:p>
      <w:pPr>
        <w:pStyle w:val="Descripciónacadémica"/>
      </w:pPr>
      <w:r>
        <w:rPr>
          <w:rFonts w:ascii="Times New Roman" w:hAnsi="Times New Roman"/>
          <w:i/>
          <w:color w:val="000000"/>
        </w:rPr>
        <w:t>Impactos totales completos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total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478,7789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1 787,1927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4,4245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bl>
    <w:p>
      <w:pPr>
        <w:pStyle w:val="Rótuloacadémico"/>
      </w:pPr>
      <w:r>
        <w:rPr>
          <w:rFonts w:ascii="Times New Roman" w:hAnsi="Times New Roman"/>
          <w:b/>
          <w:color w:val="000000"/>
        </w:rPr>
        <w:t>Tabla R8</w:t>
      </w:r>
    </w:p>
    <w:p>
      <w:pPr>
        <w:pStyle w:val="Descripciónacadémica"/>
      </w:pPr>
      <w:r>
        <w:rPr>
          <w:rFonts w:ascii="Times New Roman" w:hAnsi="Times New Roman"/>
          <w:i/>
          <w:color w:val="000000"/>
        </w:rPr>
        <w:t>Comparación completa de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 B −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478,7789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1 787,1927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1 308,4138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273,2814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0,7855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21,5841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Heading2"/>
      </w:pPr>
      <w:r>
        <w:rPr>
          <w:rFonts w:ascii="Times New Roman" w:hAnsi="Times New Roman"/>
          <w:color w:val="000000"/>
        </w:rPr>
        <w:t>Apéndice R9. Figuras complementarias</w:t>
      </w:r>
    </w:p>
    <w:p>
      <w:pPr>
        <w:spacing w:line="240" w:lineRule="auto" w:before="0" w:after="0"/>
        <w:ind w:left="100" w:firstLine="719"/>
        <w:jc w:val="both"/>
      </w:pPr>
      <w:r>
        <w:rPr>
          <w:rFonts w:ascii="Times New Roman" w:hAnsi="Times New Roman"/>
          <w:sz w:val="24"/>
        </w:rPr>
        <w:t>La Figura R1 complementa la caracterización de nitrógeno total; la Figura R2 complementa los flujos del inventario; la Figura R3 complementa las emisiones de N₂O; la Figura R4 complementa las emisiones de NH₃; la Figura R5 complementa las emisiones de NO₃⁻; la Figura R6 complementa las emisiones de CO₂; la Figura R7 complementa la comparación total de calentamiento global; y la Figura R8 complementa la comparación total de eutrofización.</w:t>
      </w:r>
    </w:p>
    <w:p>
      <w:pPr>
        <w:pStyle w:val="Rótuloacadémico"/>
      </w:pPr>
      <w:r>
        <w:rPr>
          <w:rFonts w:ascii="Times New Roman" w:hAnsi="Times New Roman"/>
          <w:b/>
          <w:color w:val="000000"/>
        </w:rPr>
        <w:t>Figura R1</w:t>
      </w:r>
    </w:p>
    <w:p>
      <w:pPr>
        <w:pStyle w:val="Descripciónacadémica"/>
      </w:pPr>
      <w:r>
        <w:rPr>
          <w:rFonts w:ascii="Times New Roman" w:hAnsi="Times New Roman"/>
          <w:i/>
          <w:color w:val="000000"/>
        </w:rPr>
        <w:t>Nitrógeno total promedio por tipo de muestra.</w:t>
      </w:r>
    </w:p>
    <w:p>
      <w:pPr>
        <w:ind w:left="0" w:firstLine="0"/>
        <w:jc w:val="center"/>
      </w:pPr>
      <w:r>
        <w:drawing>
          <wp:inline xmlns:a="http://schemas.openxmlformats.org/drawingml/2006/main" xmlns:pic="http://schemas.openxmlformats.org/drawingml/2006/picture">
            <wp:extent cx="5669280" cy="3962194"/>
            <wp:docPr id="8" name="Picture 8"/>
            <wp:cNvGraphicFramePr>
              <a:graphicFrameLocks noChangeAspect="1"/>
            </wp:cNvGraphicFramePr>
            <a:graphic>
              <a:graphicData uri="http://schemas.openxmlformats.org/drawingml/2006/picture">
                <pic:pic>
                  <pic:nvPicPr>
                    <pic:cNvPr id="0" name="fig_03_caracterizacion_nitrogeno_total.png"/>
                    <pic:cNvPicPr/>
                  </pic:nvPicPr>
                  <pic:blipFill>
                    <a:blip r:embed="rId16"/>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R2</w:t>
      </w:r>
    </w:p>
    <w:p>
      <w:pPr>
        <w:pStyle w:val="Descripciónacadémica"/>
      </w:pPr>
      <w:r>
        <w:rPr>
          <w:rFonts w:ascii="Times New Roman" w:hAnsi="Times New Roman"/>
          <w:i/>
          <w:color w:val="000000"/>
        </w:rPr>
        <w:t>Distribución de componentes del inventario por etapa.</w:t>
      </w:r>
    </w:p>
    <w:p>
      <w:pPr>
        <w:ind w:left="0" w:firstLine="0"/>
        <w:jc w:val="center"/>
      </w:pPr>
      <w:r>
        <w:drawing>
          <wp:inline xmlns:a="http://schemas.openxmlformats.org/drawingml/2006/main" xmlns:pic="http://schemas.openxmlformats.org/drawingml/2006/picture">
            <wp:extent cx="5669280" cy="3962432"/>
            <wp:docPr id="9" name="Picture 9"/>
            <wp:cNvGraphicFramePr>
              <a:graphicFrameLocks noChangeAspect="1"/>
            </wp:cNvGraphicFramePr>
            <a:graphic>
              <a:graphicData uri="http://schemas.openxmlformats.org/drawingml/2006/picture">
                <pic:pic>
                  <pic:nvPicPr>
                    <pic:cNvPr id="0" name="fig_05_flujos_distribucion_componentes.png"/>
                    <pic:cNvPicPr/>
                  </pic:nvPicPr>
                  <pic:blipFill>
                    <a:blip r:embed="rId17"/>
                    <a:stretch>
                      <a:fillRect/>
                    </a:stretch>
                  </pic:blipFill>
                  <pic:spPr>
                    <a:xfrm>
                      <a:off x="0" y="0"/>
                      <a:ext cx="5669280" cy="3962432"/>
                    </a:xfrm>
                    <a:prstGeom prst="rect"/>
                  </pic:spPr>
                </pic:pic>
              </a:graphicData>
            </a:graphic>
          </wp:inline>
        </w:drawing>
      </w:r>
    </w:p>
    <w:p>
      <w:pPr>
        <w:pStyle w:val="Rótuloacadémico"/>
      </w:pPr>
      <w:r>
        <w:rPr>
          <w:rFonts w:ascii="Times New Roman" w:hAnsi="Times New Roman"/>
          <w:b/>
          <w:color w:val="000000"/>
        </w:rPr>
        <w:t>Figura R3</w:t>
      </w:r>
    </w:p>
    <w:p>
      <w:pPr>
        <w:pStyle w:val="Descripciónacadémica"/>
      </w:pPr>
      <w:r>
        <w:rPr>
          <w:rFonts w:ascii="Times New Roman" w:hAnsi="Times New Roman"/>
          <w:i/>
          <w:color w:val="000000"/>
        </w:rPr>
        <w:t>Emisiones anuales de N₂O por etapa y escenario.</w:t>
      </w:r>
    </w:p>
    <w:p>
      <w:pPr>
        <w:ind w:left="0" w:firstLine="0"/>
        <w:jc w:val="center"/>
      </w:pPr>
      <w:r>
        <w:drawing>
          <wp:inline xmlns:a="http://schemas.openxmlformats.org/drawingml/2006/main" xmlns:pic="http://schemas.openxmlformats.org/drawingml/2006/picture">
            <wp:extent cx="5669280" cy="2717699"/>
            <wp:docPr id="10" name="Picture 10"/>
            <wp:cNvGraphicFramePr>
              <a:graphicFrameLocks noChangeAspect="1"/>
            </wp:cNvGraphicFramePr>
            <a:graphic>
              <a:graphicData uri="http://schemas.openxmlformats.org/drawingml/2006/picture">
                <pic:pic>
                  <pic:nvPicPr>
                    <pic:cNvPr id="0" name="fig_07_emisiones_n2o.png"/>
                    <pic:cNvPicPr/>
                  </pic:nvPicPr>
                  <pic:blipFill>
                    <a:blip r:embed="rId18"/>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R4</w:t>
      </w:r>
    </w:p>
    <w:p>
      <w:pPr>
        <w:pStyle w:val="Descripciónacadémica"/>
      </w:pPr>
      <w:r>
        <w:rPr>
          <w:rFonts w:ascii="Times New Roman" w:hAnsi="Times New Roman"/>
          <w:i/>
          <w:color w:val="000000"/>
        </w:rPr>
        <w:t>Emisiones anuales de NH₃ por etapa y escenario.</w:t>
      </w:r>
    </w:p>
    <w:p>
      <w:pPr>
        <w:ind w:left="0" w:firstLine="0"/>
        <w:jc w:val="center"/>
      </w:pPr>
      <w:r>
        <w:drawing>
          <wp:inline xmlns:a="http://schemas.openxmlformats.org/drawingml/2006/main" xmlns:pic="http://schemas.openxmlformats.org/drawingml/2006/picture">
            <wp:extent cx="5669280" cy="2717699"/>
            <wp:docPr id="11" name="Picture 11"/>
            <wp:cNvGraphicFramePr>
              <a:graphicFrameLocks noChangeAspect="1"/>
            </wp:cNvGraphicFramePr>
            <a:graphic>
              <a:graphicData uri="http://schemas.openxmlformats.org/drawingml/2006/picture">
                <pic:pic>
                  <pic:nvPicPr>
                    <pic:cNvPr id="0" name="fig_08_emisiones_nh3.png"/>
                    <pic:cNvPicPr/>
                  </pic:nvPicPr>
                  <pic:blipFill>
                    <a:blip r:embed="rId19"/>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R5</w:t>
      </w:r>
    </w:p>
    <w:p>
      <w:pPr>
        <w:pStyle w:val="Descripciónacadémica"/>
      </w:pPr>
      <w:r>
        <w:rPr>
          <w:rFonts w:ascii="Times New Roman" w:hAnsi="Times New Roman"/>
          <w:i/>
          <w:color w:val="000000"/>
        </w:rPr>
        <w:t>Emisiones anuales de NO₃⁻ por etapa y escenario.</w:t>
      </w:r>
    </w:p>
    <w:p>
      <w:pPr>
        <w:ind w:left="0" w:firstLine="0"/>
        <w:jc w:val="center"/>
      </w:pPr>
      <w:r>
        <w:drawing>
          <wp:inline xmlns:a="http://schemas.openxmlformats.org/drawingml/2006/main" xmlns:pic="http://schemas.openxmlformats.org/drawingml/2006/picture">
            <wp:extent cx="5669280" cy="2717699"/>
            <wp:docPr id="12" name="Picture 12"/>
            <wp:cNvGraphicFramePr>
              <a:graphicFrameLocks noChangeAspect="1"/>
            </wp:cNvGraphicFramePr>
            <a:graphic>
              <a:graphicData uri="http://schemas.openxmlformats.org/drawingml/2006/picture">
                <pic:pic>
                  <pic:nvPicPr>
                    <pic:cNvPr id="0" name="fig_09_emisiones_no3.png"/>
                    <pic:cNvPicPr/>
                  </pic:nvPicPr>
                  <pic:blipFill>
                    <a:blip r:embed="rId20"/>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R6</w:t>
      </w:r>
    </w:p>
    <w:p>
      <w:pPr>
        <w:pStyle w:val="Descripciónacadémica"/>
      </w:pPr>
      <w:r>
        <w:rPr>
          <w:rFonts w:ascii="Times New Roman" w:hAnsi="Times New Roman"/>
          <w:i/>
          <w:color w:val="000000"/>
        </w:rPr>
        <w:t>Emisiones anuales de CO₂ por etapa y escenario.</w:t>
      </w:r>
    </w:p>
    <w:p>
      <w:pPr>
        <w:ind w:left="0" w:firstLine="0"/>
        <w:jc w:val="center"/>
      </w:pPr>
      <w:r>
        <w:drawing>
          <wp:inline xmlns:a="http://schemas.openxmlformats.org/drawingml/2006/main" xmlns:pic="http://schemas.openxmlformats.org/drawingml/2006/picture">
            <wp:extent cx="5669280" cy="3957541"/>
            <wp:docPr id="13" name="Picture 13"/>
            <wp:cNvGraphicFramePr>
              <a:graphicFrameLocks noChangeAspect="1"/>
            </wp:cNvGraphicFramePr>
            <a:graphic>
              <a:graphicData uri="http://schemas.openxmlformats.org/drawingml/2006/picture">
                <pic:pic>
                  <pic:nvPicPr>
                    <pic:cNvPr id="0" name="fig_10_emisiones_co2.png"/>
                    <pic:cNvPicPr/>
                  </pic:nvPicPr>
                  <pic:blipFill>
                    <a:blip r:embed="rId21"/>
                    <a:stretch>
                      <a:fillRect/>
                    </a:stretch>
                  </pic:blipFill>
                  <pic:spPr>
                    <a:xfrm>
                      <a:off x="0" y="0"/>
                      <a:ext cx="5669280" cy="3957541"/>
                    </a:xfrm>
                    <a:prstGeom prst="rect"/>
                  </pic:spPr>
                </pic:pic>
              </a:graphicData>
            </a:graphic>
          </wp:inline>
        </w:drawing>
      </w:r>
    </w:p>
    <w:p>
      <w:pPr>
        <w:pStyle w:val="Rótuloacadémico"/>
      </w:pPr>
      <w:r>
        <w:rPr>
          <w:rFonts w:ascii="Times New Roman" w:hAnsi="Times New Roman"/>
          <w:b/>
          <w:color w:val="000000"/>
        </w:rPr>
        <w:t>Figura R7</w:t>
      </w:r>
    </w:p>
    <w:p>
      <w:pPr>
        <w:pStyle w:val="Descripciónacadémica"/>
      </w:pPr>
      <w:r>
        <w:rPr>
          <w:rFonts w:ascii="Times New Roman" w:hAnsi="Times New Roman"/>
          <w:i/>
          <w:color w:val="000000"/>
        </w:rPr>
        <w:t>Comparación del potencial total de calentamiento global entre escenarios.</w:t>
      </w:r>
    </w:p>
    <w:p>
      <w:pPr>
        <w:ind w:left="0" w:firstLine="0"/>
        <w:jc w:val="center"/>
      </w:pPr>
      <w:r>
        <w:drawing>
          <wp:inline xmlns:a="http://schemas.openxmlformats.org/drawingml/2006/main" xmlns:pic="http://schemas.openxmlformats.org/drawingml/2006/picture">
            <wp:extent cx="5669280" cy="4085781"/>
            <wp:docPr id="14" name="Picture 14"/>
            <wp:cNvGraphicFramePr>
              <a:graphicFrameLocks noChangeAspect="1"/>
            </wp:cNvGraphicFramePr>
            <a:graphic>
              <a:graphicData uri="http://schemas.openxmlformats.org/drawingml/2006/picture">
                <pic:pic>
                  <pic:nvPicPr>
                    <pic:cNvPr id="0" name="fig_13_comparacion_total_calentamiento_global.png"/>
                    <pic:cNvPicPr/>
                  </pic:nvPicPr>
                  <pic:blipFill>
                    <a:blip r:embed="rId22"/>
                    <a:stretch>
                      <a:fillRect/>
                    </a:stretch>
                  </pic:blipFill>
                  <pic:spPr>
                    <a:xfrm>
                      <a:off x="0" y="0"/>
                      <a:ext cx="5669280" cy="4085781"/>
                    </a:xfrm>
                    <a:prstGeom prst="rect"/>
                  </pic:spPr>
                </pic:pic>
              </a:graphicData>
            </a:graphic>
          </wp:inline>
        </w:drawing>
      </w:r>
    </w:p>
    <w:p>
      <w:pPr>
        <w:pStyle w:val="Rótuloacadémico"/>
      </w:pPr>
      <w:r>
        <w:rPr>
          <w:rFonts w:ascii="Times New Roman" w:hAnsi="Times New Roman"/>
          <w:b/>
          <w:color w:val="000000"/>
        </w:rPr>
        <w:t>Figura R8</w:t>
      </w:r>
    </w:p>
    <w:p>
      <w:pPr>
        <w:pStyle w:val="Descripciónacadémica"/>
      </w:pPr>
      <w:r>
        <w:rPr>
          <w:rFonts w:ascii="Times New Roman" w:hAnsi="Times New Roman"/>
          <w:i/>
          <w:color w:val="000000"/>
        </w:rPr>
        <w:t>Comparación del potencial total de eutrofización entre escenarios.</w:t>
      </w:r>
    </w:p>
    <w:p>
      <w:pPr>
        <w:ind w:left="0" w:firstLine="0"/>
        <w:jc w:val="center"/>
      </w:pPr>
      <w:r>
        <w:drawing>
          <wp:inline xmlns:a="http://schemas.openxmlformats.org/drawingml/2006/main" xmlns:pic="http://schemas.openxmlformats.org/drawingml/2006/picture">
            <wp:extent cx="5669280" cy="4085781"/>
            <wp:docPr id="15" name="Picture 15"/>
            <wp:cNvGraphicFramePr>
              <a:graphicFrameLocks noChangeAspect="1"/>
            </wp:cNvGraphicFramePr>
            <a:graphic>
              <a:graphicData uri="http://schemas.openxmlformats.org/drawingml/2006/picture">
                <pic:pic>
                  <pic:nvPicPr>
                    <pic:cNvPr id="0" name="fig_14_comparacion_total_eutrofizacion.png"/>
                    <pic:cNvPicPr/>
                  </pic:nvPicPr>
                  <pic:blipFill>
                    <a:blip r:embed="rId23"/>
                    <a:stretch>
                      <a:fillRect/>
                    </a:stretch>
                  </pic:blipFill>
                  <pic:spPr>
                    <a:xfrm>
                      <a:off x="0" y="0"/>
                      <a:ext cx="5669280" cy="4085781"/>
                    </a:xfrm>
                    <a:prstGeom prst="rect"/>
                  </pic:spPr>
                </pic:pic>
              </a:graphicData>
            </a:graphic>
          </wp:inline>
        </w:drawing>
      </w:r>
    </w:p>
    <w:p>
      <w:pPr>
        <w:pStyle w:val="Heading2"/>
      </w:pPr>
      <w:r>
        <w:rPr>
          <w:rFonts w:ascii="Times New Roman" w:hAnsi="Times New Roman"/>
          <w:color w:val="000000"/>
        </w:rPr>
        <w:t>Apéndice R10. Correspondencia entre tablas, figuras y archivos fuente</w:t>
      </w:r>
    </w:p>
    <w:p>
      <w:pPr>
        <w:spacing w:line="240" w:lineRule="auto" w:before="0" w:after="0"/>
        <w:ind w:left="100" w:firstLine="719"/>
        <w:jc w:val="both"/>
      </w:pPr>
      <w:r>
        <w:rPr>
          <w:rFonts w:ascii="Times New Roman" w:hAnsi="Times New Roman"/>
          <w:sz w:val="24"/>
        </w:rPr>
        <w:t>La Tabla R10 resume la correspondencia académica entre contenidos, bases de información y figuras utilizadas en el documento.</w:t>
      </w:r>
    </w:p>
    <w:p>
      <w:pPr>
        <w:pStyle w:val="Rótuloacadémico"/>
      </w:pPr>
      <w:r>
        <w:rPr>
          <w:rFonts w:ascii="Times New Roman" w:hAnsi="Times New Roman"/>
          <w:b/>
          <w:color w:val="000000"/>
        </w:rPr>
        <w:t>Tabla R10</w:t>
      </w:r>
    </w:p>
    <w:p>
      <w:pPr>
        <w:pStyle w:val="Descripciónacadémica"/>
      </w:pPr>
      <w:r>
        <w:rPr>
          <w:rFonts w:ascii="Times New Roman" w:hAnsi="Times New Roman"/>
          <w:i/>
          <w:color w:val="000000"/>
        </w:rPr>
        <w:t>Correspondencia de insumos usados.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Contenido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información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Tablas o figuras relacionadas</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muestras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materiales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1, 2 y R1</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del ICV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de flujos por escenario y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3 y R2</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del modelo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principales del modelo ACV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Tabla 3</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emisión y caracterización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Apéndice R4</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estimadas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4, R3, R4, R5 y R6</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ambientales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5 y 6</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totales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agregados por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R7 y R8</w:t>
            </w:r>
          </w:p>
        </w:tc>
      </w:tr>
      <w:t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de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ambiental entre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 7</w:t>
            </w:r>
          </w:p>
        </w:tc>
      </w:tr>
    </w:tbl>
    <w:sectPr w:rsidR="00FC693F" w:rsidRPr="0006063C" w:rsidSect="00034616">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