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Documento integral de trabajo para revisión académica. La jornada M3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M1–m². La incorporación de m³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m² y mantiene pendiente m³.</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Grupo Intergubernamental de Expertos sobre el Cambio Climático (IPCC, por sus siglas en inglés)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En M1 se analizaron, por cada sólido, dos muestras compuestas en Bioenergía y otras dos muestras compuestas físicamente independientes en el laboratorio externo: los Laboratorios de Servicios Analíticos de la Escuela de Química (LASA) de la Universidad de Costa Rica (UCR), para estiércol fresco, y el Laboratorio de Suelos y Foliares del Centro de Investigaciones Agronómicas (CIA), para precompostado. En m² se conservaron tres muestras compuestas por sólido; Bioenergía realizó tres réplicas gravimétricas por muestra y el remanente de esas mismas muestras fue analizado por LASA o CIA.</w:t>
      </w:r>
    </w:p>
    <w:p>
      <w:pPr>
        <w:spacing w:line="240" w:lineRule="auto" w:before="0" w:after="0"/>
        <w:ind w:left="100" w:firstLine="719"/>
        <w:jc w:val="both"/>
      </w:pPr>
      <w:r>
        <w:rPr>
          <w:rFonts w:ascii="Times New Roman" w:hAnsi="Times New Roman"/>
          <w:sz w:val="24"/>
        </w:rPr>
        <w:t>Bioenergía determinó humedad y materia seca por gravimetría a 105 °C durante 16 h. El CIA determinó N y C del precompostado por Dumas sobre muestra seca o acondicionada a 80 °C durante 48 h. El porcentaje de N se combinó con la materia seca independiente de Bioenergía para construir la referencia de contraste en base húmeda de A2; C y C/N permanecieron como caracterización descriptiva, sin conversión húmeda ni uso productivo.</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m². En aguas verdes y purines, M1 correspondió a especiación y se conservó para trazabilidad; el N total líquido activo procedió de m² mediante Kjeldahl. m³ permanece pendiente y se incorporará mediante la misma secuencia de procesamiento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spacing w:line="240" w:lineRule="auto" w:before="0" w:after="0"/>
        <w:ind w:left="100" w:firstLine="719"/>
        <w:jc w:val="both"/>
      </w:pPr>
      <w:r>
        <w:rPr>
          <w:rFonts w:ascii="Times New Roman" w:hAnsi="Times New Roman"/>
          <w:sz w:val="24"/>
        </w:rPr>
        <w:t>Antes de cada campaña líquida, la tanqueta se vació el jueves por la tarde y acumuló material hasta el lunes por la mañana. Durante ese intervalo de acumulación previo al muestreo continuaron las entradas y ocurrieron dos lavados; no fue una carga cerrada ni un ensayo de almacenamiento estático. Esta preparación de muestra no sustituyó la frecuencia operativa representativa de aproximadamente tres días.</w:t>
      </w:r>
    </w:p>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pStyle w:val="Heading2"/>
      </w:pPr>
      <w:r>
        <w:rPr>
          <w:rFonts w:ascii="Times New Roman" w:hAnsi="Times New Roman"/>
          <w:color w:val="000000"/>
        </w:rPr>
        <w:t>4.4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4.4.1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(1)</w:t>
      </w:r>
    </w:p>
    <w:p>
      <w:pPr>
        <w:pStyle w:val="Heading3"/>
      </w:pPr>
      <w:r>
        <w:rPr>
          <w:rFonts w:ascii="Times New Roman" w:hAnsi="Times New Roman"/>
          <w:color w:val="000000"/>
        </w:rPr>
        <w:t>4.4.2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mineralización se aplica donde corresponde antes de estimar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(5)</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(6)</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(7)</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(9)</w:t>
      </w:r>
    </w:p>
    <w:p>
      <w:pPr>
        <w:pStyle w:val="Heading3"/>
      </w:pPr>
      <w:r>
        <w:rPr>
          <w:rFonts w:ascii="Times New Roman" w:hAnsi="Times New Roman"/>
          <w:color w:val="000000"/>
        </w:rPr>
        <w:t>4.4.3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(10)</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(12)</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(13)</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(15)</w:t>
      </w:r>
    </w:p>
    <w:p>
      <w:pPr>
        <w:pStyle w:val="Heading2"/>
      </w:pPr>
      <w:r>
        <w:rPr>
          <w:rFonts w:ascii="Times New Roman" w:hAnsi="Times New Roman"/>
          <w:color w:val="000000"/>
        </w:rPr>
        <w:t>4.5 Evaluación de impactos y consumos operativos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(16)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La Tabla 3 documenta los factores visibles principales y la Figura 2 muestra la escala operacional de los flujos.</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4.6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M1–m², la ausencia de una medición directa del MCF para aproximadamente tres días de residencia,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pre-m³.</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M1–m². No constituyen una caracterización definitiva ni anticipan los resultados de m³.</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4 resume las emisiones del manejo y la Figura 4 muestra la distribución de CH₄. Las contribuciones operativas de electricidad y diésel se incorporaron en el indicador de cambio climático, manteniendo separada su trazabilidad.</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5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6 presenta la magnitud anual y la Tabla 7 muestra los indicadores por unidad funcional. La Tabla 8 y la Figura 7 presentan la comparación entre escenarios bajo la misma base funcional.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9 contrasta las estimaciones oficiales de A2: Lombricompostaje con Jjagwe et al. (2019) sobre una base material armonizada. El contraste apoya la interpretación, pero no sustituye el inventario oficial ni constituye una validación formal del modelo.</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pre-m³.</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10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m³,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m³ y antes de la interpretación final podrá evaluarse si una sensibilidad acotada de las aproximaciones de alta influencia, en particular N₂ de A2 y NH₃ de Komakech, aporta valor suficiente. Su ausencia no impide validar el modelo pre-m³.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M1–m². m³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m³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m³,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11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M1–m²</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