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humedad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M1–m² para sólidos y al N total Kjeldahl de m² para aguas verdes y purines. La jornada m³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humedades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una referencia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mediante una arquitectura híbrida explícita y trazable. IPCC y la categoría Composting – Passive Windrow cubrieron CH₄ y N₂O directo; la fracción de lixiviación se estableció en cero como parámetro específico de las condiciones operativas modeladas,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La fracción IPCC de volatilización se conservó solo como referencia de contraste y no generó una segunda emisión. El NH₃ se estimó una sola vez con la aproximación experimental aprobada de Komakech et al. (2016), aplicada a la masa húmeda inferida de entrada; NO y N₂ emplearon aproximaciones EMEP/EEA de almacenamiento sólido aprobadas provisionalmente. Estas elecciones son decisiones metodológicas vigentes, aunque conservan incertidumbres de transferibilidad y representatividad, especialmente para el factor de N₂.</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 arquitectura híbrida IPCC–EMEP–Komakech vigente.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949325"/>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949325"/>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balance secuencial.</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aproximación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3169873"/>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3172071"/>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3172071"/>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como referencia interpretativa, sin reinicializar el balance secuencial, forzar NH₃ nulo, sustituir la arquitectura IPCC–EMEP–Komakech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humedad,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estimada mediante la arquitectura híbrida vigente y la categoría IPCC disponible Composting – Passive Windrow para CH₄ y N₂O directo, con las características propias de su sustrato y condiciones operativas. Estas diferencias de especie, acondicionamiento, alimentación, humedad,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la comparación contrasta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m²</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m² pendiente m³</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m² pendiente m³</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m²</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4331138"/>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4331138"/>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3169873"/>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3168644"/>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3168644"/>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3169873"/>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169873"/>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