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ind w:left="0" w:firstLine="0"/>
        <w:jc w:val="center"/>
      </w:pPr>
      <w:r>
        <w:rPr>
          <w:rFonts w:ascii="Cambria Math" w:hAnsi="Cambria Math"/>
          <w:sz w:val="24"/>
        </w:rPr>
        <w:t>R_{j}=\frac{f_{\mathrm{MS,fresco},j}\,f_{\mathrm{cenizas,fresco},j}}{f_{\mathrm{MS,precompostado},j}\,f_{\mathrm{cenizas,precompostado},j}};\quad \widehat m_{\mathrm{húmeda,A2}}=m_{\mathrm{húmeda,A1}}\,\overline R</w:t>
      </w:r>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default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proxy metodológico para estimar CH₄ y N₂O directo. La fracción de lixiviación se estableció en cero como parámetro específico de las condiciones operativas modeladas, sin afirmar imposibilidad física universal. La fracción IPCC de volatilización se conservó únicamente como benchmark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proxy experimental aprobado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proxies metodológicos aprobados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el proxy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el pool residual de TAN a la salida de A1. Las duraciones específicas de ambas etapas introducen incertidumbre de representatividad temporal y de transferencia de los proxies,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