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A1: Precomposteo recibió 17 525,1 kg/año de estiércol fresco recolectado. La entrada húmeda de A2: Lombricompostaje se estimó en 7 429,97 kg/año mediante una razón de masa derivada de materia seca y cenizas por jornada, bajo el supuesto de conservación de estas últimas. Esa entrada no fue pesada como salida de A1. La diferencia entre ambas masas húmedas no permite cuantificar evaporación ni pérdidas de sólidos: se dispuso de húmedades de muestras, pero no de los flujos de agua y sólidos necesarios para cerrar ambos balances.</w:t>
      </w:r>
    </w:p>
    <w:p>
      <w:pPr>
        <w:spacing w:line="240" w:lineRule="auto" w:before="0" w:after="0"/>
        <w:ind w:left="100" w:firstLine="719"/>
        <w:jc w:val="both"/>
      </w:pPr>
      <w:r>
        <w:rPr>
          <w:rFonts w:ascii="Times New Roman" w:hAnsi="Times New Roman"/>
          <w:sz w:val="24"/>
        </w:rPr>
        <w:t>El N total y el nitrógeno amoniacal total de A2 se propagaron desde A1 según las pérdidas de N modeladas. La masa húmeda estimada no se utilizó para descontar N de forma adicional; el N analítico del precompostado permanece como contraste experimental independiente.</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se organizaron por escenario y etapa. La tabla distingue entre el nitrógeno total reportado en porcentaje y su expresión como fracción másica. Para A2, la fracción del precompostado sobre masa húmeda incorpora la materia seca gravimétrica y constituye un benchmark experimental; no reinicializa el balance productivo, cuyo N total y nitrógeno amoniacal total proceden de la salida de A1.</w:t>
      </w:r>
    </w:p>
    <w:p>
      <w:pPr>
        <w:spacing w:line="240" w:lineRule="auto" w:before="0" w:after="0"/>
        <w:ind w:left="100" w:firstLine="719"/>
        <w:jc w:val="both"/>
      </w:pPr>
      <w:r>
        <w:rPr>
          <w:rFonts w:ascii="Times New Roman" w:hAnsi="Times New Roman"/>
          <w:sz w:val="24"/>
        </w:rPr>
        <w:t>A2: Lombricompostaje se calculó mediante una arquitectura híbrida explícita y trazable. IPCC y la categoría Composting – Passive Windrow cubrieron CH₄ y N₂O directo; la fracción de lixiviación se estableció en cero como parámetro específico de las condiciones operativas modeladas,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La fracción IPCC de volatilización se conservó solo como benchmark y no generó una segunda emisión. El NH₃ se estimó una sola vez con el proxy experimental aprobado de Komakech et al. (2016), aplicado a la masa húmeda inferida de entrada; NO y N₂ emplearon proxies EMEP/EEA de almacenamiento sólido aprobados provisionalmente. Estas elecciones son decisiones metodológicas vigentes, aunque conservan incertidumbres de transferibilidad y representatividad, especialmente para el factor de N₂.</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 arquitectura híbrida IPCC–EMEP–Komakech vigente.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e identifica por separado CO₂ fósil, CH₄ fósil y N₂O de combustión del diésel. La Tabla 4 y las figuras de emisiones conservan exclusivamente las emisiones del manejo del estiércol.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81,99 % del calentamiento global del Escenario B, con 5 127,965072 kg CO₂-eq/año. En el Escenario A, A3: Almacenamiento de aguas verdes aportó 53,93 %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ledger.</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operativos se incorporaron mediante factores IMN: electricidad agregada de consumo 2025, como proxy temporal del patrón observado en 2026, y emisiones físicas de diésel caracterizadas con EF 3.1. El total climático combina estas contribuciones con las del manejo; no corresponde exclusivamente a EF 3.1. No se modelaron cadenas completas de suministro mediante ecoinvent.</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total por etapa y escenario (IMN y EF 3.1).</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En el Escenario A, el impacto climático del manejo fue de 2 687,737847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En el Escenario B, el impacto climático del manejo fue de 5 771,931464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El Escenario A alcanzó 3 170,11353 kg CO₂-eq/año, 617,051713 mol N-eq/año de eutrofización terrestre y 15,648348 kg N-eq/año de eutrofización marina. El Escenario B alcanzó 6 254,307147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0,120634221 kg CO₂-eq, 0,023481037 mol N-eq terrestre y 0,000595476 kg N-eq marino por kg de estiércol fresco manejado. Para el Escenario B fueron 0,237998879,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como benchmark interpretativo, sin reinicializar el ledger, forzar NH₃ nulo, sustituir la arquitectura IPCC–EMEP–Komakech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estimada mediante la arquitectura híbrida vigente y la categoría IPCC disponible Composting – Passive Windrow para CH₄ y N₂O directo,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IMN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IMN y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Recursos energéticos (kg CO₂-eq/año)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