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3795B"/>
          <w:sz w:val="52"/>
        </w:rPr>
        <w:t>SS</w:t>
      </w:r>
    </w:p>
    <w:p>
      <w:pPr>
        <w:pStyle w:val="Title"/>
        <w:jc w:val="center"/>
      </w:pPr>
      <w:r>
        <w:t>Informe de cumplimiento de la rúbrica SmartStock</w:t>
      </w:r>
    </w:p>
    <w:p>
      <w:pPr>
        <w:spacing w:after="720"/>
        <w:jc w:val="center"/>
      </w:pPr>
      <w:r>
        <w:rPr>
          <w:color w:val="5D7069"/>
          <w:sz w:val="28"/>
        </w:rPr>
        <w:t>Proyecto de software con Expo React Native y Supabase</w:t>
      </w:r>
    </w:p>
    <w:p>
      <w:pPr>
        <w:spacing w:after="160"/>
        <w:jc w:val="center"/>
      </w:pPr>
      <w:r>
        <w:rPr>
          <w:b/>
        </w:rPr>
        <w:t>Elaborado por David Naranjo</w:t>
      </w:r>
    </w:p>
    <w:p>
      <w:pPr>
        <w:jc w:val="center"/>
      </w:pPr>
      <w:r>
        <w:rPr>
          <w:color w:val="5D7069"/>
        </w:rPr>
        <w:t>29 de octubre de 2026</w:t>
      </w:r>
    </w:p>
    <w:p>
      <w:r>
        <w:br w:type="page"/>
      </w:r>
    </w:p>
    <w:p>
      <w:pPr>
        <w:pStyle w:val="Heading1"/>
      </w:pPr>
      <w:r>
        <w:t>Propósito y resultado de la revisión</w:t>
      </w:r>
    </w:p>
    <w:p>
      <w:r>
        <w:t>Este informe explica cómo SmartStock responde a cada parámetro de la rúbrica de evaluación. La revisión se basó en el código del proyecto, las migraciones de Supabase, la documentación de instalación y las verificaciones ejecutadas sobre el repositorio.</w:t>
      </w:r>
    </w:p>
    <w:p>
      <w:r>
        <w:t>El proyecto cubre los cinco bloques evaluados. La estimación actual es de 95 puntos sobre 100. La diferencia corresponde a dos evidencias que conviene completar antes de la entrega: la ejecución automática de las pruebas RLS con cuentas de prueba y una ronda final de validación responsive en dispositivos reales.</w:t>
      </w:r>
    </w:p>
    <w:p>
      <w:pPr>
        <w:pStyle w:val="Heading1"/>
      </w:pPr>
      <w:r>
        <w:t>Resumen de cumplimiento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4536"/>
            <w:shd w:fill="173B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1080"/>
            <w:shd w:fill="173B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1800"/>
            <w:shd w:fill="173B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1512"/>
            <w:shd w:fill="173B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Estimación</w:t>
            </w:r>
          </w:p>
        </w:tc>
      </w:tr>
      <w:tr>
        <w:tc>
          <w:tcPr>
            <w:tcW w:type="dxa" w:w="4536"/>
            <w:tcMar>
              <w:top w:w="120" w:type="dxa"/>
              <w:start w:w="140" w:type="dxa"/>
              <w:bottom w:w="120" w:type="dxa"/>
              <w:end w:w="140" w:type="dxa"/>
            </w:tcMar>
            <w:shd w:fill="EDF7F3"/>
            <w:vAlign w:val="center"/>
          </w:tcPr>
          <w:p>
            <w:pPr>
              <w:jc w:val="left"/>
            </w:pPr>
            <w:r>
              <w:rPr>
                <w:sz w:val="18"/>
              </w:rPr>
              <w:t>Autenticación y login</w:t>
            </w:r>
          </w:p>
        </w:tc>
        <w:tc>
          <w:tcPr>
            <w:tcW w:type="dxa" w:w="1080"/>
            <w:tcMar>
              <w:top w:w="120" w:type="dxa"/>
              <w:start w:w="140" w:type="dxa"/>
              <w:bottom w:w="120" w:type="dxa"/>
              <w:end w:w="140" w:type="dxa"/>
            </w:tcMar>
            <w:shd w:fill="EDF7F3"/>
            <w:vAlign w:val="center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EDF7F3"/>
            <w:vAlign w:val="center"/>
          </w:tcPr>
          <w:p>
            <w:pPr>
              <w:jc w:val="center"/>
            </w:pPr>
            <w:r>
              <w:rPr>
                <w:b/>
                <w:color w:val="13795B"/>
                <w:sz w:val="18"/>
              </w:rPr>
              <w:t>Cumplido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EDF7F3"/>
            <w:vAlign w:val="center"/>
          </w:tcPr>
          <w:p>
            <w:pPr>
              <w:jc w:val="center"/>
            </w:pPr>
            <w:r>
              <w:rPr>
                <w:b/>
                <w:color w:val="13795B"/>
                <w:sz w:val="18"/>
              </w:rPr>
              <w:t>15/15</w:t>
            </w:r>
          </w:p>
        </w:tc>
      </w:tr>
      <w:tr>
        <w:tc>
          <w:tcPr>
            <w:tcW w:type="dxa" w:w="4536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Navegación sesión y Home</w:t>
            </w:r>
          </w:p>
        </w:tc>
        <w:tc>
          <w:tcPr>
            <w:tcW w:type="dxa" w:w="1080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13795B"/>
                <w:sz w:val="18"/>
              </w:rPr>
              <w:t>Cumplido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13795B"/>
                <w:sz w:val="18"/>
              </w:rPr>
              <w:t>10/10</w:t>
            </w:r>
          </w:p>
        </w:tc>
      </w:tr>
      <w:tr>
        <w:tc>
          <w:tcPr>
            <w:tcW w:type="dxa" w:w="4536"/>
            <w:tcMar>
              <w:top w:w="120" w:type="dxa"/>
              <w:start w:w="140" w:type="dxa"/>
              <w:bottom w:w="120" w:type="dxa"/>
              <w:end w:w="140" w:type="dxa"/>
            </w:tcMar>
            <w:shd w:fill="EDF7F3"/>
            <w:vAlign w:val="center"/>
          </w:tcPr>
          <w:p>
            <w:pPr>
              <w:jc w:val="left"/>
            </w:pPr>
            <w:r>
              <w:rPr>
                <w:sz w:val="18"/>
              </w:rPr>
              <w:t>Modelo de datos y entidades</w:t>
            </w:r>
          </w:p>
        </w:tc>
        <w:tc>
          <w:tcPr>
            <w:tcW w:type="dxa" w:w="1080"/>
            <w:tcMar>
              <w:top w:w="120" w:type="dxa"/>
              <w:start w:w="140" w:type="dxa"/>
              <w:bottom w:w="120" w:type="dxa"/>
              <w:end w:w="140" w:type="dxa"/>
            </w:tcMar>
            <w:shd w:fill="EDF7F3"/>
            <w:vAlign w:val="center"/>
          </w:tcPr>
          <w:p>
            <w:pPr>
              <w:jc w:val="center"/>
            </w:pPr>
            <w:r>
              <w:rPr>
                <w:sz w:val="18"/>
              </w:rPr>
              <w:t>35%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EDF7F3"/>
            <w:vAlign w:val="center"/>
          </w:tcPr>
          <w:p>
            <w:pPr>
              <w:jc w:val="center"/>
            </w:pPr>
            <w:r>
              <w:rPr>
                <w:b/>
                <w:color w:val="8E5E09"/>
                <w:sz w:val="18"/>
              </w:rPr>
              <w:t>Casi completo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EDF7F3"/>
            <w:vAlign w:val="center"/>
          </w:tcPr>
          <w:p>
            <w:pPr>
              <w:jc w:val="center"/>
            </w:pPr>
            <w:r>
              <w:rPr>
                <w:b/>
                <w:color w:val="13795B"/>
                <w:sz w:val="18"/>
              </w:rPr>
              <w:t>32/35</w:t>
            </w:r>
          </w:p>
        </w:tc>
      </w:tr>
      <w:tr>
        <w:tc>
          <w:tcPr>
            <w:tcW w:type="dxa" w:w="4536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Diseño visual y experiencia</w:t>
            </w:r>
          </w:p>
        </w:tc>
        <w:tc>
          <w:tcPr>
            <w:tcW w:type="dxa" w:w="1080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8E5E09"/>
                <w:sz w:val="18"/>
              </w:rPr>
              <w:t>Casi completo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13795B"/>
                <w:sz w:val="18"/>
              </w:rPr>
              <w:t>13/15</w:t>
            </w:r>
          </w:p>
        </w:tc>
      </w:tr>
      <w:tr>
        <w:tc>
          <w:tcPr>
            <w:tcW w:type="dxa" w:w="4536"/>
            <w:tcMar>
              <w:top w:w="120" w:type="dxa"/>
              <w:start w:w="140" w:type="dxa"/>
              <w:bottom w:w="120" w:type="dxa"/>
              <w:end w:w="140" w:type="dxa"/>
            </w:tcMar>
            <w:shd w:fill="EDF7F3"/>
            <w:vAlign w:val="center"/>
          </w:tcPr>
          <w:p>
            <w:pPr>
              <w:jc w:val="left"/>
            </w:pPr>
            <w:r>
              <w:rPr>
                <w:sz w:val="18"/>
              </w:rPr>
              <w:t>Arquitectura y ejecución</w:t>
            </w:r>
          </w:p>
        </w:tc>
        <w:tc>
          <w:tcPr>
            <w:tcW w:type="dxa" w:w="1080"/>
            <w:tcMar>
              <w:top w:w="120" w:type="dxa"/>
              <w:start w:w="140" w:type="dxa"/>
              <w:bottom w:w="120" w:type="dxa"/>
              <w:end w:w="140" w:type="dxa"/>
            </w:tcMar>
            <w:shd w:fill="EDF7F3"/>
            <w:vAlign w:val="center"/>
          </w:tcPr>
          <w:p>
            <w:pPr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EDF7F3"/>
            <w:vAlign w:val="center"/>
          </w:tcPr>
          <w:p>
            <w:pPr>
              <w:jc w:val="center"/>
            </w:pPr>
            <w:r>
              <w:rPr>
                <w:b/>
                <w:color w:val="13795B"/>
                <w:sz w:val="18"/>
              </w:rPr>
              <w:t>Cumplido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EDF7F3"/>
            <w:vAlign w:val="center"/>
          </w:tcPr>
          <w:p>
            <w:pPr>
              <w:jc w:val="center"/>
            </w:pPr>
            <w:r>
              <w:rPr>
                <w:b/>
                <w:color w:val="13795B"/>
                <w:sz w:val="18"/>
              </w:rPr>
              <w:t>25/25</w:t>
            </w:r>
          </w:p>
        </w:tc>
      </w:tr>
    </w:tbl>
    <w:p/>
    <w:p>
      <w:r>
        <w:rPr>
          <w:b/>
        </w:rPr>
        <w:t xml:space="preserve">Resultado de las verificaciones ejecutadas  </w:t>
      </w:r>
      <w:r>
        <w:t>TypeScript y ESLint aprobaron sin errores. Expo Doctor aprobó 20 de 20 comprobaciones.</w:t>
      </w:r>
    </w:p>
    <w:p>
      <w:r>
        <w:br w:type="page"/>
      </w:r>
    </w:p>
    <w:p>
      <w:pPr>
        <w:pStyle w:val="Heading1"/>
      </w:pPr>
      <w:r>
        <w:t>1 Autenticación y login funcional</w:t>
      </w:r>
    </w:p>
    <w:p>
      <w:pPr>
        <w:pStyle w:val="Heading2"/>
        <w:keepNext/>
      </w:pPr>
      <w:r>
        <w:t>Validación de credenciales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Los formularios normalizan el correo, validan su formato, exigen una contraseña de al menos seis caracteres y comprueban que la confirmación coincida. El inicio de sesión también impide enviar campos vacíos.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screens/registerscreen.tsx y screens/loginscreen.tsx</w:t>
      </w:r>
    </w:p>
    <w:p>
      <w:pPr>
        <w:pStyle w:val="Heading2"/>
        <w:keepNext/>
      </w:pPr>
      <w:r>
        <w:t>Autenticación con backend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La aplicación utiliza Supabase Auth para registrar cuentas, iniciar sesión, restaurar la sesión y cerrar sesión. El contexto de autenticación consulta además el rol y el estado del perfil antes de permitir el acceso.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src/context/auth-context.tsx y src/lib/supabase.ts</w:t>
      </w:r>
    </w:p>
    <w:p>
      <w:pPr>
        <w:pStyle w:val="Heading2"/>
        <w:keepNext/>
      </w:pPr>
      <w:r>
        <w:t>Control de acceso y rutas protegidas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Las pantallas privadas verifican que exista una sesión. Los módulos administrativos validan el rol admin y redirigen al inicio cuando un cliente intenta abrirlos. Las cuentas pendientes o inactivas no reciben una sesión autorizada.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src/context/auth-context.tsx y comprobaciones de acceso en screens</w:t>
      </w:r>
    </w:p>
    <w:p>
      <w:pPr>
        <w:pStyle w:val="Heading2"/>
        <w:keepNext/>
      </w:pPr>
      <w:r>
        <w:t>Manejo de estados y mensajes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La interfaz muestra mensajes específicos para credenciales incorrectas, correo sin confirmar, cuenta pendiente, límite de correos, errores de red y registro duplicado. Durante cada solicitud se deshabilitan acciones y se muestran indicadores de carga.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authErrorMessage en src/context/auth-context.tsx y mensajes visuales de login y registro</w:t>
      </w:r>
    </w:p>
    <w:p>
      <w:pPr>
        <w:pStyle w:val="Heading2"/>
        <w:keepNext/>
      </w:pPr>
      <w:r>
        <w:t>Seguridad básica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Supabase administra las contraseñas y los tokens. En dispositivos móviles la sesión se conserva con AsyncStorage y la renovación automática se activa cuando la aplicación vuelve al primer plano. La URL y la clave publicable se leen desde variables de entorno y los archivos locales .env están excluidos de Git.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src/lib/supabase.ts, .gitignore y .env.example</w:t>
      </w:r>
    </w:p>
    <w:p>
      <w:pPr>
        <w:pStyle w:val="Heading1"/>
      </w:pPr>
      <w:r>
        <w:t>2 Navegación sesión y vista principal</w:t>
      </w:r>
    </w:p>
    <w:p>
      <w:pPr>
        <w:pStyle w:val="Heading2"/>
        <w:keepNext/>
      </w:pPr>
      <w:r>
        <w:t>Redirección posterior al login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Después de una autenticación válida la aplicación abre la ruta Home. Al cerrar sesión elimina la sesión de Supabase y reemplaza la ruta actual por Login, evitando que el botón Atrás vuelva a una vista privada.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screens/loginscreen.tsx, src/context/auth-context.tsx y src/components/app-menu.tsx</w:t>
      </w:r>
    </w:p>
    <w:p>
      <w:pPr>
        <w:pStyle w:val="Heading2"/>
        <w:keepNext/>
      </w:pPr>
      <w:r>
        <w:t>Persistencia de sesión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El proveedor de autenticación ejecuta getSession al iniciar la aplicación y escucha los cambios de Supabase Auth. El cliente se configuró con persistSession y autoRefreshToken.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src/context/auth-context.tsx y src/lib/supabase.ts</w:t>
      </w:r>
    </w:p>
    <w:p>
      <w:pPr>
        <w:pStyle w:val="Heading2"/>
        <w:keepNext/>
      </w:pPr>
      <w:r>
        <w:t>Estructura de la Home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La vista principal cambia según el rol. El administrador recibe accesos a clientes, productos, compras, estadísticas y solicitudes. El cliente recibe métricas, última compra, productos disponibles y accesos para comprar o consultar su historial.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screens/homescreen.tsx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016"/>
            <wp:docPr id="1" name="Picture 1" descr="Captura de la vista principal de SmartStock para un usuario clie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5fbd17c-d43a-4463-b2f0-2d3c55260d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Figura 1  Vista principal del área de cliente y aplicación de la identidad visual verde</w:t>
      </w:r>
    </w:p>
    <w:p>
      <w:r>
        <w:br w:type="page"/>
      </w:r>
    </w:p>
    <w:p>
      <w:pPr>
        <w:pStyle w:val="Heading1"/>
      </w:pPr>
      <w:r>
        <w:t>3 Modelo de datos y entidades en Supabase</w:t>
      </w:r>
    </w:p>
    <w:p>
      <w:pPr>
        <w:pStyle w:val="Heading2"/>
        <w:keepNext/>
      </w:pPr>
      <w:r>
        <w:t>Mínimo de cinco entidades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SmartStock implementa cinco tablas públicas: perfiles, clientes, productos, encabezados y detalles. Cada tabla tiene una responsabilidad concreta dentro del proceso de usuarios, inventario y compras.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supabase/migrations/202610280001_schema_and_rls.sql</w:t>
      </w:r>
    </w:p>
    <w:p>
      <w:pPr>
        <w:pStyle w:val="Heading2"/>
        <w:keepNext/>
      </w:pPr>
      <w:r>
        <w:t>Modelado y relaciones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El esquema define llaves primarias, llaves foráneas, valores únicos, restricciones CHECK, tipos numéricos consistentes e índices para las consultas más frecuentes. Las relaciones enlazan Auth con perfiles, perfiles con clientes, clientes con compras y compras con sus productos.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Migración principal de esquema y tipos de src/types/database.ts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89908"/>
            <wp:docPr id="2" name="Picture 2" descr="Editor de tablas de Supabase con clientes detalles encabezados perfiles y produc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39540bc-bbd7-4bc1-8d7c-676be7ef26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89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Figura 2  Las cinco tablas públicas visibles en el editor de Supabase</w:t>
      </w:r>
    </w:p>
    <w:p>
      <w:pPr>
        <w:pStyle w:val="Heading2"/>
        <w:keepNext/>
      </w:pPr>
      <w:r>
        <w:t>Operaciones CRUD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El administrador puede crear, consultar, modificar y eliminar productos. También puede consultar, editar, activar, inactivar y eliminar cuentas de clientes. Las compras se crean y administran mediante funciones PostgreSQL transaccionales que actualizan existencias y totales de forma coordinada.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screens/productsscreen.tsx, screens/clientsscreen.tsx, src/database/purchases.ts y 202610280002_purchase_functions.sql</w:t>
      </w:r>
    </w:p>
    <w:p>
      <w:pPr>
        <w:pStyle w:val="Heading2"/>
        <w:keepNext/>
      </w:pPr>
      <w:r>
        <w:t>Seguridad RLS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8E5E09"/>
        </w:rPr>
        <w:t>Implementado con verificación automática pendiente</w:t>
      </w:r>
    </w:p>
    <w:p>
      <w:pPr>
        <w:spacing w:after="80"/>
      </w:pPr>
      <w:r>
        <w:t>Las cinco tablas tienen RLS habilitado. Las políticas permiten a cada cliente consultar sus propios datos y compras, mientras que las modificaciones administrativas requieren el rol admin. Existe una prueba automática que intenta accesos permitidos y prohibidos.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202610280001_schema_and_rls.sql, supabase/diagnostics/verify_security.sql y scripts/test-rls.mjs. Falta configurar .env.test.local y ejecutar npm run test:rls.</w:t>
      </w:r>
    </w:p>
    <w:p>
      <w:pPr>
        <w:pStyle w:val="Heading2"/>
        <w:keepNext/>
      </w:pPr>
      <w:r>
        <w:t>Visualización y gestión de datos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Los módulos presentan tarjetas y listados organizados, formularios para crear o editar registros, mensajes de confirmación y controles según el rol. Los productos muestran precio y stock; las compras muestran encabezado, detalle, cantidades y total.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screens/productsscreen.tsx, screens/purchaseheadersscreen.tsx y screens/purchasedetailsscreen.tsx</w:t>
      </w:r>
    </w:p>
    <w:p>
      <w:pPr>
        <w:pStyle w:val="Heading1"/>
      </w:pPr>
      <w:r>
        <w:t>4 Diseño visual y experiencia de usuario</w:t>
      </w:r>
    </w:p>
    <w:p>
      <w:pPr>
        <w:pStyle w:val="Heading2"/>
        <w:keepNext/>
      </w:pPr>
      <w:r>
        <w:t>Consistencia visual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Las pantallas utilizan una paleta común de verdes, fondos claros y acentos crema. La jerarquía tipográfica, los radios, los espacios y los estados de botones se repiten de manera consistente en login, Home y módulos internos.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src/constants/theme.ts y estilos de screens</w:t>
      </w:r>
    </w:p>
    <w:p>
      <w:pPr>
        <w:pStyle w:val="Heading2"/>
        <w:keepNext/>
      </w:pPr>
      <w:r>
        <w:t>Navegación global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Las rutas privadas muestran un menú global adaptable al rol. El menú incluye Inicio, Productos, Compras, Nueva compra o módulos administrativos, además del cierre de sesión. La Home mantiene accesos directos equivalentes.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src/components/app-menu.tsx y src/app/_layout.tsx</w:t>
      </w:r>
    </w:p>
    <w:p>
      <w:pPr>
        <w:pStyle w:val="Heading2"/>
        <w:keepNext/>
      </w:pPr>
      <w:r>
        <w:t>Diseño adaptativo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8E5E09"/>
        </w:rPr>
        <w:t>Implementado con validación manual final pendiente</w:t>
      </w:r>
    </w:p>
    <w:p>
      <w:pPr>
        <w:spacing w:after="80"/>
      </w:pPr>
      <w:r>
        <w:t>La interfaz usa contenedores flexibles, medidas máximas, saltos de columnas y useWindowDimensions para cambiar la distribución. Los formularios incorporan KeyboardAvoidingView para evitar que el teclado cubra los campos en el celular.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screens/homescreen.tsx, screens/loginscreen.tsx, screens/productsscreen.tsx y screens/registerscreen.tsx. Conviene documentar una última prueba en iPhone y Android.</w:t>
      </w:r>
    </w:p>
    <w:p>
      <w:pPr>
        <w:pStyle w:val="Heading2"/>
        <w:keepNext/>
      </w:pPr>
      <w:r>
        <w:t>Estados de interfaz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Los módulos muestran ActivityIndicator durante la carga o una operación. Cuando no existen registros aparecen estados vacíos específicos para clientes, productos, compras, solicitudes, estadísticas y productos sin stock.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Estados condicionales implementados en todas las pantallas de datos</w:t>
      </w:r>
    </w:p>
    <w:p>
      <w:pPr>
        <w:pStyle w:val="Heading1"/>
      </w:pPr>
      <w:r>
        <w:t>5 Arquitectura y funcionamiento general</w:t>
      </w:r>
    </w:p>
    <w:p>
      <w:pPr>
        <w:pStyle w:val="Heading2"/>
        <w:keepNext/>
      </w:pPr>
      <w:r>
        <w:t>Estructura y modularidad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Las rutas viven en src/app, las pantallas en screens, la sesión en src/context, el cliente de Supabase en src/lib, las operaciones de compra en src/database, los componentes reutilizables en src/components y los tipos en src/types.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Estructura del repositorio y sección Estructura principal del README</w:t>
      </w:r>
    </w:p>
    <w:p>
      <w:pPr>
        <w:pStyle w:val="Heading2"/>
        <w:keepNext/>
      </w:pPr>
      <w:r>
        <w:t>Conexión e integración backend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El proyecto inicializa un único cliente tipado de Supabase con variables EXPO_PUBLIC_SUPABASE_URL y EXPO_PUBLIC_SUPABASE_PUBLISHABLE_KEY. No contiene claves service_role ni contraseñas dentro del código fuente.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src/lib/supabase.ts, src/types/database.ts y .env.example</w:t>
      </w:r>
    </w:p>
    <w:p>
      <w:pPr>
        <w:pStyle w:val="Heading2"/>
        <w:keepNext/>
      </w:pPr>
      <w:r>
        <w:t>Manejo de errores y asincronía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Las operaciones asíncronas se controlan con try catch finally, mensajes visibles y estados que evitan solicitudes duplicadas. Las funciones de compra se ejecutan en PostgreSQL para conservar la integridad del stock y los totales si ocurre un error.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Pantallas de autenticación y CRUD, src/database/purchases.ts y funciones SQL de compras</w:t>
      </w:r>
    </w:p>
    <w:p>
      <w:pPr>
        <w:pStyle w:val="Heading2"/>
        <w:keepNext/>
      </w:pPr>
      <w:r>
        <w:t>Despliegue y ejecución</w:t>
      </w:r>
    </w:p>
    <w:p>
      <w:pPr>
        <w:keepNext/>
        <w:spacing w:after="80"/>
      </w:pPr>
      <w:r>
        <w:rPr>
          <w:b/>
          <w:color w:val="1F3630"/>
        </w:rPr>
        <w:t xml:space="preserve">Estado  </w:t>
      </w:r>
      <w:r>
        <w:rPr>
          <w:b/>
          <w:color w:val="13795B"/>
        </w:rPr>
        <w:t>Cumplido</w:t>
      </w:r>
    </w:p>
    <w:p>
      <w:pPr>
        <w:spacing w:after="80"/>
      </w:pPr>
      <w:r>
        <w:t>El README explica instalación, variables de entorno, orden de migraciones, creación del administrador, comandos de ejecución, flujo de usuarios, seguridad y solución de problemas. npm test aprobó TypeScript y ESLint; Expo Doctor aprobó 20 de 20 comprobaciones.</w:t>
      </w:r>
    </w:p>
    <w:p>
      <w:pPr>
        <w:spacing w:after="160"/>
      </w:pPr>
      <w:r>
        <w:rPr>
          <w:b/>
          <w:color w:val="1F3630"/>
        </w:rPr>
        <w:t xml:space="preserve">Evidencia  </w:t>
      </w:r>
      <w:r>
        <w:rPr>
          <w:rFonts w:ascii="Aptos" w:hAnsi="Aptos"/>
          <w:color w:val="5D7069"/>
        </w:rPr>
        <w:t>README.md y scripts test typecheck lint doctor de package.json</w:t>
      </w:r>
    </w:p>
    <w:p>
      <w:r>
        <w:br w:type="page"/>
      </w:r>
    </w:p>
    <w:p>
      <w:pPr>
        <w:pStyle w:val="Heading1"/>
      </w:pPr>
      <w:r>
        <w:t>Evidencias técnicas verificadas</w:t>
      </w:r>
    </w:p>
    <w:p>
      <w:pPr>
        <w:pStyle w:val="ListBullet"/>
        <w:spacing w:after="60"/>
      </w:pPr>
      <w:r>
        <w:t>npm test completó TypeScript y ESLint sin errores.</w:t>
      </w:r>
    </w:p>
    <w:p>
      <w:pPr>
        <w:pStyle w:val="ListBullet"/>
        <w:spacing w:after="60"/>
      </w:pPr>
      <w:r>
        <w:t>npm run doctor completó 20 de 20 comprobaciones de Expo.</w:t>
      </w:r>
    </w:p>
    <w:p>
      <w:pPr>
        <w:pStyle w:val="ListBullet"/>
        <w:spacing w:after="60"/>
      </w:pPr>
      <w:r>
        <w:t>La exportación web de Expo generó correctamente el bundle de producción.</w:t>
      </w:r>
    </w:p>
    <w:p>
      <w:pPr>
        <w:pStyle w:val="ListBullet"/>
        <w:spacing w:after="60"/>
      </w:pPr>
      <w:r>
        <w:t>El repositorio contiene cuatro migraciones SQL, consultas de diagnóstico y una prueba automática de RLS.</w:t>
      </w:r>
    </w:p>
    <w:p>
      <w:pPr>
        <w:pStyle w:val="ListBullet"/>
        <w:spacing w:after="60"/>
      </w:pPr>
      <w:r>
        <w:t>El README documenta la preparación de Supabase y el uso exclusivo de la capa gratuita.</w:t>
      </w:r>
    </w:p>
    <w:p>
      <w:pPr>
        <w:pStyle w:val="Heading1"/>
      </w:pPr>
      <w:r>
        <w:t>Validaciones pendientes antes de la entrega</w:t>
      </w:r>
    </w:p>
    <w:p>
      <w:r>
        <w:t>Estas actividades no requieren cambios de arquitectura. Sirven para completar las evidencias que podría solicitar el evaluador.</w:t>
      </w:r>
    </w:p>
    <w:p>
      <w:pPr>
        <w:pStyle w:val="ListBullet"/>
        <w:spacing w:after="60"/>
      </w:pPr>
      <w:r>
        <w:t>Crear .env.test.local con una cuenta administradora activa y una cuenta cliente activa, y ejecutar npm run test:rls.</w:t>
      </w:r>
    </w:p>
    <w:p>
      <w:pPr>
        <w:pStyle w:val="ListBullet"/>
        <w:spacing w:after="60"/>
      </w:pPr>
      <w:r>
        <w:t>Registrar el resultado de las pruebas RLS o conservar una captura de la terminal con todas las verificaciones aprobadas.</w:t>
      </w:r>
    </w:p>
    <w:p>
      <w:pPr>
        <w:pStyle w:val="ListBullet"/>
        <w:spacing w:after="60"/>
      </w:pPr>
      <w:r>
        <w:t>Probar el flujo completo en navegador, iPhone y Android: registro, aprobación, login, producto, compra, modificación, eliminación y cierre de sesión.</w:t>
      </w:r>
    </w:p>
    <w:p>
      <w:pPr>
        <w:pStyle w:val="ListBullet"/>
        <w:spacing w:after="60"/>
      </w:pPr>
      <w:r>
        <w:t>Conservar una captura móvil final donde se observe la adaptación de la Home y otra de un formulario con el teclado abierto.</w:t>
      </w:r>
    </w:p>
    <w:p>
      <w:pPr>
        <w:pStyle w:val="Heading1"/>
      </w:pPr>
      <w:r>
        <w:t>Conclusión</w:t>
      </w:r>
    </w:p>
    <w:p>
      <w:r>
        <w:t>SmartStock cumple los requisitos funcionales y técnicos principales de la rúbrica. La autenticación, las cinco entidades, el CRUD, las políticas RLS, la navegación por roles, el diseño común y la documentación están implementados. La valoración estimada es de 95 sobre 100 mientras se completan las pruebas automáticas de RLS y la evidencia responsive final.</w:t>
      </w:r>
    </w:p>
    <w:sectPr w:rsidR="00FC693F" w:rsidRPr="0006063C" w:rsidSect="00034616">
      <w:footerReference w:type="default" r:id="rId11"/>
      <w:pgSz w:w="12240" w:h="15840"/>
      <w:pgMar w:top="1191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7069"/>
        <w:sz w:val="16"/>
      </w:rPr>
      <w:t>SmartStock  |  Evidencias de rúbrica  |  David Naranjo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ptos" w:hAnsi="Aptos"/>
      <w:color w:val="1F36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D706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cumplimiento de la rúbrica SmartStock</dc:title>
  <dc:subject>Evidencias técnicas y funcionales del proyecto SmartStock</dc:subject>
  <dc:creator>David Naranjo</dc:creator>
  <cp:keywords>SmartStock, Supabase, Expo, rúbrica, evidencias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