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PYMES DATA STRATEGY</w:t>
      </w:r>
    </w:p>
    <w:p>
      <w:pPr>
        <w:pBdr>
          <w:bottom w:val="single" w:color="FF6600" w:sz="12" w:space="6"/>
        </w:pBdr>
        <w:spacing w:after="80" w:before="0"/>
        <w:jc w:val="center"/>
      </w:pPr>
      <w:r>
        <w:rPr>
          <w:rFonts w:ascii="Arial" w:cs="Arial" w:eastAsia="Arial" w:hAnsi="Arial"/>
          <w:color w:val="FF6600"/>
          <w:sz w:val="28"/>
          <w:szCs w:val="28"/>
        </w:rPr>
        <w:t xml:space="preserve">Plataforma ETL con Inteligencia Artificial para PYMES</w:t>
      </w:r>
    </w:p>
    <w:p>
      <w:r>
        <w:t xml:space="preserve"/>
      </w:r>
    </w:p>
    <w:p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DOCUMENTACIÓN TÉCNICA COMPLETA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Manual de Usuario  ·  Requerimientos del Sistema  ·  Manual de Instalación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Identidad Visual  ·  Integración con IA  ·  Anexos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PymesDataStrategy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Fundación Universitaria Compensar — GIIS SW-005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v1.0.0  (Wave 2 completa)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Juan Camilo García 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 Desarrollo Activo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Descripción General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PymesDataStrategy es una plataforma web de procesamiento de datos diseñada para pequeñas y medianas empresas (PYMES) en Bogotá, Colombia. El sistema permite cargar archivos de datos (CSV/Excel), detectar anomalías automáticamente mediante algoritmos estadísticos y sugerencias de Inteligencia Artificial (Google Gemini), y validar correcciones mediante un proceso Human-in-the-Loop (HITL) antes de exportar el archivo limpio.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Componentes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sistema se compone de cuatro servicios principales que trabajan en conjunto: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16 + React 19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Interfaz web del usuario — carga de archivos, visualización de anomalías, aprobación de correcciones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20 + Express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Capa REST que expone endpoints, gestiona autenticación JWT, encola trabajos ETL y persiste datos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Worker ETL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3.12 + Polars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Procesa archivos, detecta anomalías (valores faltantes, outliers), genera sugerencias con Gemini AI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16 (base de datos), Redis 7.4 (cola de trabajos BullMQ), MinIO (almacenamiento S3)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Flujo General de Uso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ciclo de vida de un dataset en la plataforma sigue los siguientes pasos: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analista sube un archivo CSV o Excel a través del panel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API Gateway recibe el archivo, lo almacena en MinIO y encola un trabajo ETL en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Worker Python procesa el archivo con Polars: detecta anomalías estadísticas y consulta Gemini AI para obtener sugerencias de corrección.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Frontend recibe actualizaciones en tiempo real vía SSE (Server-Sent Events) y muestra las anomalías al analista.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analista revisa cada anomalía, acepta o rechaza la sugerencia de IA, y puede editar instrucciones en lenguaje natural.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enviar las decisiones, el sistema genera el archivo de datos limpio y lo almacena en MinIO para descarga.</w:t>
      </w:r>
    </w:p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Requerimientos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sección describe los requisitos de hardware, software y conectividad necesarios para ejecutar PymesDataStrategy en un entorno de desarrollo local o producción.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Requisitos de Hardware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2.1.1 Especificaciones Mínimas (Desarrollo 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núcleos (x86-64)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núcleos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Intel Core i5 8ª gen / AMD Ryzen 5 3600 o equivalente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GB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GB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Mínimo para levantar los 5 contenedores Docker simultáneamente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GB libres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GB SSD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SSD recomendado para I/O de PostgreSQL y MinIO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Mbps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Mbps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Necesario para descarga de imágenes Docker y llamadas a Gemini API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requerida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requerida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procesamiento de IA se realiza en la nube (Gemini API)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2.1.2 Especificaciones para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vCPU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vCPU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recomienda separar API y Worker en instancias independientes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GB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 GB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Polars puede consumir hasta 4 GB con datasets de 500k filas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GB SSD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 GB SSD NVMe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 almacena archivos originales y resultados procesados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Mbps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Gbps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Ancho de banda para uploads de datasets y SSE en tiempo real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DB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requiere backup diario de volumen Docker</w:t>
            </w:r>
          </w:p>
        </w:tc>
      </w:tr>
    </w:tbl>
    <w:p>
      <w:r>
        <w:t xml:space="preserve"/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El Worker Python (Polars) puede consumir RAM proporcional al tamaño del dataset. Para archivos Excel de más de 100.000 filas se recomienda mínimo 16 GB de RAM.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Requisitos de Software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2.2.1 Software Obligatorio en el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v24.0 o superior — orquesta todos los servicios del sistema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v2.20 o superior — incluido en Docker Desktop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v2.40 o superior — para clonar los repositorios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Linux (Ubuntu 22.04+ recomendado), macOS 13+, o Windows 11 con WSL2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Puerto 3000 libre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 — no debe estar ocupado por otro proceso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Puerto 3001 libre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Next.js — no debe estar ocupado por otro proceso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Puerto 5432 libre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— o configurar POSTGRES_PORT alternativo en .env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Puerto 6379 libre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— o configurar REDIS_PORT alternativo en .env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Puerto 9000/9001 libre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 API y Consola Web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2.2.2 Software Opcional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v20+ (local)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si se desea ejecutar el Frontend fuera de Docker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 3.12+ (local)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si se desea ejecutar el Worker fuera de Docker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pnpm v9+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de paquetes del Backend (instalado automáticamente con Node.js)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uv (Python)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de paquetes del Worker (alternativa moderna a pip)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make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 ejecutar comandos del Makefile del backend (atajos de desarrollo)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Requisitos de Conectividad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siguientes servicios de internet son necesarios para el funcionamiento completo: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Clave API requerida en GEMINI_API_KEY. Modelo: gemini-2.5-flash. Requiere cuenta Google Cloud con facturación habilitada.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Hub / GHCR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Descarga inicial de imágenes: postgres:16-alpine, redis:7.4-alpine, minio/minio. (~800 MB total).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npm Registry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 instalar dependencias Node.js durante el build del Frontend y API.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 instalar dependencias Python durante el build del Worker.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n8n (opcional)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Servicio de automatización para notificaciones. No requerido para funcionalidad principal.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Puertos de Red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40"/>
        <w:gridCol w:w="1440"/>
        <w:gridCol w:w="428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42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3001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HTTP/TCP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Interfaz web del usuario — acceso principal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 (Express)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3000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HTTP/TCP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y Server-Sent Events (SSE)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ETL (FastAPI)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8000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HTTP/TCP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check y endpoints internos del Worker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5432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de datos relacional — acceso interno Docker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6379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Cola de trabajos BullMQ — acceso interno Docker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 API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9000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HTTP/TCP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Almacenamiento S3-compatible — upload/download archivos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 Consola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9001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HTTP/TCP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Panel web de administración de MinIO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Manual de Instalación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guía permite levantar el sistema completo en un entorno local de desarrollo usando Docker Compose. El tiempo estimado de instalación es de 15 a 30 minutos dependiendo de la velocidad de internet.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Prerrequisitos</w:t>
      </w:r>
    </w:p>
    <w:p>
      <w:pPr>
        <w:pBdr>
          <w:left w:val="single" w:color="059669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✓  Verifique que Docker y Git estén instalados antes de continuar.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Ejecute los siguientes comandos para verificar las versiones instaladas: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--version       # Debe mostrar Docker version 24.0 o superior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version # Debe mostrar Docker Compose version v2.20 o superior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--version          # Debe mostrar git version 2.40 o superior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Clonar los Repositorios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sistema se divide en dos repositorios: Backend (incluye API y Worker) y Frontend.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Crear directorio principal del proyecto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pymes-data-strategy &amp;&amp; cd pymes-data-strategy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Clonar el Backend (API Gateway + Worker ETL)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https://github.com/jcgmU/PymesDataStrategyBackEnd.git backend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Clonar el Frontend (Next.js)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https://github.com/jcgmU/PymesDataStrategyFrontEnd.git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Configuración de Variables de Entorno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3.3.1 Backend (.env)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Cree el archivo .env en la carpeta backend/ copiando el archivo de ejemplo: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   # Si no existe, crear el archivo manualmente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Edite el archivo backend/.env con los siguientes valores: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BASE DE DATOS ──────────────────────────────────────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POSTGRES_USER=pymes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POSTGRES_PASSWORD=pymes_dev_password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POSTGRES_DB=pymes_dev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POSTGRES_PORT=5432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REDIS ──────────────────────────────────────────────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REDIS_PORT=6379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MINIO (Almacenamiento) 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MINIO_PORT=9000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MINIO_CONSOLE_PORT=9001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MINIO_ROOT_USER=minioadmin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MINIO_ROOT_PASSWORD=minioadmin123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MINIO_BUCKET_DATASETS=datasets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MINIO_BUCKET_RESULTS=results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MINIO_BUCKET_TEMP=temp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MINIO_PUBLIC_ENDPOINT=http://localhost:9000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SEGURIDAD JWT ───────────────────────────────────────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JWT_SECRET=cambiar-en-produccion-secreto-largo-aleatorio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JWT_EXPIRES_IN=7d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BCRYPT_ROUNDS=10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PUERTOS DE LA APP ───────────────────────────────────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API_PORT=3000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WORKER_PORT=8000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FRONTEND_PORT=3001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INTELIGENCIA ARTIFICIAL (OBLIGATORIO) 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GEMINI_API_KEY=AIzaSy...su_clave_aqui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GEMINI_MODEL=gemini-2.5-flash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INSTRUCTION_PARSER_ENABLED=true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n8n (OPCIONAL) ──────────────────────────────────────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N8N_SUGGESTIONS_WEBHOOK_URL=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N8N_WEBHOOK_SECRET=pymes-n8n-secret-2024</w:t>
      </w:r>
    </w:p>
    <w:p>
      <w:r>
        <w:t xml:space="preserve"/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La variable GEMINI_API_KEY es obligatoria para la detección de anomalías con IA. Obtenga una clave en https://aistudio.google.com</w:t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Nunca suba el archivo .env a Git. Verifique que .env esté en el .gitignore del proyecto.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3.3.2 Frontend (.env.local)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Cree el archivo .env.local en la carpeta frontend/: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../frontend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Contenido de frontend/.env.local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NEXTAUTH_URL=http://localhost:3001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NEXTAUTH_SECRET=dev-secret-cambiar-en-produccion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NEXT_PUBLIC_API_URL=http://localhost:3000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INTERNAL_API_URL=http://api:3000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Levantar la Infraestructura con Docker Compose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3.4.1 Primer Arranque (build completo)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Desde la carpeta backend/, ejecute el siguiente comando para construir e iniciar todos los servicios: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Construir imágenes y levantar todos los servicios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--build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Alternativa: levantar en segundo plano (modo daemon)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--build -d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proceso de build tarda entre 5 y 15 minutos en el primer arranque. Docker descargará las imágenes base y compilará el código. Al finalizar, verá mensajes similares a: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pymes-postgres  | database system is ready to accept connections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pymes-redis     | Ready to accept connections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pymes-minio     | API: http://0.0.0.0:9000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pymes-api       | Server running on port 3000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pymes-worker    | Worker started, listening for jobs...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3.4.2 Inicializar la Base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 la primera ejecución, aplique las migraciones de Prisma para crear el esquema de la base de datos: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Ejecutar las migraciones de la base de datos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exec api npx prisma migrate deploy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(Opcional) Cargar datos de prueba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exec api npx prisma db seed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3.4.3 Levantar el Frontend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Frontend se levanta por separado. Abra una nueva terminal y ejecute: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Instalar dependencias (primera vez)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Iniciar en modo desarrollo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La aplicación estará disponible en: http://localhost:3001</w:t>
      </w:r>
    </w:p>
    <w:p>
      <w:r>
        <w:t xml:space="preserve"/>
      </w:r>
    </w:p>
    <w:p>
      <w:pPr>
        <w:pBdr>
          <w:left w:val="single" w:color="059669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✓  También puede levantar el Frontend dentro del docker-compose. En ese caso, ya estará disponible automáticamente en http://localhost:3001 tras el paso 3.4.1.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Verificación de la Instalación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Una vez que todos los servicios estén corriendo, verifique el estado del sistema accediendo a las siguientes URLs: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 (App Principal)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http://localhost:3001 — Debe mostrar la pantalla de inicio de sesión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Gateway (Health)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http://localhost:3000/health — Debe retornar { status: 'ok' }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Worker ETL (Health)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http://localhost:8000/health — Debe retornar { status: 'healthy' }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MinIO (Consola Web)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http://localhost:9001 — Panel de administración de almacenamiento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Docs (OpenAPI)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http://localhost:3000/api-docs — Documentación interactiva de endpoints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verificar que todos los contenedores Docker estén activos: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ps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Resultado esperado (todos en estado 'Up' o 'healthy'):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  STATUS          PORTS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pymes-api          Up (healthy)    0.0.0.0:3000-&gt;3000/tcp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pymes-worker       Up (healthy)    0.0.0.0:8000-&gt;8000/tcp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pymes-postgres     Up (healthy)    0.0.0.0:5432-&gt;5432/tcp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pymes-redis        Up (healthy)    0.0.0.0:6379-&gt;6379/tcp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pymes-minio        Up (healthy)    0.0.0.0:9000-&gt;9000/tcp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Comandos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Detener todos los servicios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Detener y eliminar volúmenes (⚠ elimina datos)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down -v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 logs de un servicio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logs -f api  (o worker, postgres, redis)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Reiniciar un servicio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restart 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Acceder a la shell del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api 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Acceder a la shell del Worker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worker bash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Ejecutar tests del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api npx vitest run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Ejecutar tests del Worker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compose exec worker pytest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Manual de Usuario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 sección describe cómo utilizar la plataforma PymesDataStrategy paso a paso, desde el inicio de sesión hasta la exportación del archivo de datos limpio.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Acceso al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Abra su navegador web (Chrome o Edge recomendado) y navegue a http://localhost:3001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pantalla de inicio de sesión, ingrese su correo electrónico y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Haga clic en 'Iniciar Sesión'. El sistema lo redirigirá al Panel Principal (Dashboard).</w:t>
      </w:r>
    </w:p>
    <w:p>
      <w:r>
        <w:t xml:space="preserve"/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Las credenciales de acceso son configuradas por el administrador del sistema. Contacte a su administrador si no tiene una cuenta.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Cargar un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Panel Principal, haga clic en el botón 'Cargar Dataset' o arrastre su archivo al área de carga.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Seleccione un archivo en formato CSV (.csv) o Excel (.xlsx, .xls).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mostrará una barra de progreso mientras sube y procesa el archivo.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procesado, el dataset aparecerá en la lista del Dashboard con el estado 'Listo'.</w:t>
      </w:r>
    </w:p>
    <w:p>
      <w:r>
        <w:t xml:space="preserve"/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El tamaño máximo de archivo por defecto es 50 MB. Archivos más grandes requieren configuración adicional del administrador.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Revisar Anomalías Detectadas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Una vez procesado el dataset, el sistema muestra todas las anomalías encontradas: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Haga clic sobre el nombre del dataset en el Dashboard para abrir la vista de detalle.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Verá una lista de anomalías organizadas por tipo: Valores Faltantes, Valores Atípicos (Outliers),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tarjeta de anomalía muestra: la columna afectada, la fila, el valor problemático y la sugerencia de Inteligencia Artificial.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los filtros superiores para filtrar por tipo de anomalía o columna específica.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Tomar Decisiones (Human-in-the-Loop)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proceso HITL permite validar cada corrección antes de aplicarla: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RELLENAR (FILL)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Acepta la sugerencia de IA y rellena el valor faltante/incorrecto con el valor propuesto.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ELIMINAR (DELETE)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 la fila completa que contiene el valor anómalo.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CONSERVAR (KEEP)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Mantiene el valor original sin realizar ninguna corrección.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Edición en Lenguaje Natural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Escriba una instrucción en español en el campo de texto, por ejemplo: 'Reemplazar con el promedio de la columna'. El sistema interpreta la instrucción con IA.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Enviar y Exportar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revisadas todas las anomalías, haga clic en 'Enviar Decisiones'.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aplicará todas las correcciones y generará el archivo de datos limpio.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Haga clic en 'Descargar Resultado' para obtener el archivo CSV procesado.</w:t>
      </w:r>
    </w:p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Integración con Inteligencia Artificial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PymesDataStrategy utiliza modelos de lenguaje de gran escala (LLM) de Google Gemini para dos propósitos principales: la generación de sugerencias de corrección de anomalías y la interpretación de instrucciones en lenguaje natural.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Módulo de Sugerencias AI (Worker ETL)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Cuando el Worker detecta una anomalía en un dataset, construye un prompt contextualizado con la información estadística real de la columna afectada y envía la consulta a la API de Gemini: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5.1.1 Información enviada a Gemini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Nombre y tipo de dato de la columna (Float64, Utf8, Int64,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Tipo de anomalía detectada (MISSING_VALUE, OUTLIER, DUPLICATE)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Estadísticas calculadas: media, mediana, desviación estándar, percentiles P5-P95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Cantidad de filas afectadas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Valores concretos de la anomalía (ej. outliers detectados: [312.5, 298.0])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Muestra de valores válidos de la columna para dar contexto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5.1.2 Respuesta estructurada de 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Gemini responde en formato JSON estrictamente estructurado: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"actionType": "FILL",        // Acción: FILL | DELETE | KEEP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"value": "45.23",            // Valor de corrección propuesto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"reason": "Se recomienda    // Justificación en lenguaje natural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rellenar con    //   (visible para el analista)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la media de     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la columna..."  </w:t>
      </w:r>
    </w:p>
    <w:p>
      <w:pPr>
        <w:shd w:fill="1A1A2E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La clave GEMINI_API_KEY tiene límites de uso según el plan de Google Cloud. Monitoree su consumo en https://console.cloud.google.com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Editor de Instrucciones en Lenguaje Natural (NL Edit)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módulo NL Edit permite al analista escribir instrucciones de corrección en español. Por ejemplo:</w:t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'Reemplazar los valores nulos con el promedio de la columna precio'</w:t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'Eliminar todas las filas donde la fecha sea anterior al año 2020'</w:t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'Cambiar el valor 999 por el valor más frecuente de la columna categoría'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API Gateway envía la instrucción a Gemini, que la convierte en una Representación Intermedia (IR) estructurada que el Worker puede ejecutar directamente sobre el DataFrame.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Modelos de IA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Modelo Principal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gemini-2.5-flash — optimizado para velocidad y costo-eficiencia en tareas de análisis de datos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0.1 (baja) — produce respuestas consistentes y determinísticas para análisis de datos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Formato de salida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estructurado — el modelo recibe instrucción de responder exclusivamente en JSON válido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Idioma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Español — los prompts y las justificaciones se generan en español para PYMES colombianas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Gemini falla o no responde, el sistema usa valores estadísticos calculados localmente (media/moda)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Consideraciones de Privacidad de Datos</w:t>
      </w:r>
    </w:p>
    <w:p>
      <w:pPr>
        <w:pBdr>
          <w:left w:val="single" w:color="DC2626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⚠  Al utilizar Gemini API, muestras de los datos del dataset son enviadas a los servidores de Google. Para datos sensibles o confidenciales, consulte la política de privacidad de Google AI Platform.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minimizar la exposición de datos, el sistema envía únicamente: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Estadísticas agregadas (no filas individuales completas)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Valores de muestra reducidos (máximo 10 valores representativos)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Metadatos del dataset (tipos de columna, nombre de campo)</w:t>
      </w:r>
    </w:p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Manual de Identidad Visual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capítulo define los estándares visuales de la plataforma PymesDataStrategy extraídos directamente del sistema de diseño implementado en código (archivo globals.css). Aplica a la interfaz web, materiales de comunicación y documentación técnica.</w:t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Fuente autoritativa: frontend/app/globals.css — Design System token @theme. Cualquier actualización de colores o tipografía debe hacerse en ese archivo.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Filosofía de Diseño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interfaz sigue el estilo Soft SaaS B2B: profesional, limpio y accesible. Se caracteriza por fondos cálidos en beige neutro, tipografía condensada de alto impacto, componentes sin bordes visibles (solo sombras suaves), y el naranja como único color de acción. La paleta es intencionalmente minimalista — naranja sobre neutros — sin azules ni colores secundarios saturados. Esto reduce la carga cognitiva del analista y dirige la atención hacia los datos y las acciones de corrección.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Paleta de Colores — Design System Tokens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6.2.1 Color Primario — Naranja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interfaz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#FF6600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255, 102, 0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'Ingresar', 'Seleccionar Archivo', 'Aprobar', sidebar activo, 'Multiplica' en la landing, logo PYMES-AI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5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--color-primary-hover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#CC5200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204, 82, 0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 hover/presionado de todos los botones primarios y el sidebar activo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#FFF0E6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255, 240, 230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de badges, tooltips y secciones de advertencia suave relacionadas con el naranja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6.2.2 Fondos y Superficies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interfaz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--color-background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#F7F5F2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247, 245, 242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de toda la aplicación: Dashboard, Landing, Configuración. Beige cálido neutro.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Cards, modales, paneles de formulario, encabezado de revisión de anomalías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--color-sidebar-bg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#1A1A1A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26, 26, 26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Sidebar de navegación + panel izquierdo de la pantalla de Login/Auth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--color-sidebar-hover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#2D2D2D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45, 45, 45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 hover de ítems de navegación en el sidebar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6.2.3 Texto y Bordes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interfaz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30, 41, 59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principal del cuerpo, títulos de card, etiquetas de campos de formulario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100, 116, 139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Subtítulos, texto secundario, íconos del sidebar, placeholders, pies de figura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--color-sidebar-text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148, 163, 184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 los ítems de navegación no activos dentro del sidebar oscuro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226, 232, 240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Bordes de inputs, divisores entre secciones, bordes de cards de configuración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6.2.4 Colores Semánticos (Estado del Sistema)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interfaz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#059669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5, 150, 105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Badge 'Listo', botón 'Aprobar', badge 'Completado', confirmaciones de éxito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--color-success-light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#D1FAE5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209, 250, 229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de la sección 'Valores Faltantes' (amarillo suave en la UI — ver nota)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217, 119, 6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Títulos de sección 'Valores Faltantes', badge 'Procesando', advertencias de configuración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--color-warning-light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#FEF3C7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254, 243, 199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de la tarjeta de sección 'Valores Faltantes' en la pantalla de revisión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220, 38, 38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Título sección 'Duplicados', badge 'Fallido', botón de eliminación, mensajes de error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--color-error-light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#FEE2E2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254, 226, 226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de la tarjeta de sección 'Duplicados' y 'Formato Inválido' en revisión de anomalías</w:t>
            </w:r>
          </w:p>
        </w:tc>
      </w:tr>
    </w:tbl>
    <w:p>
      <w:r>
        <w:t xml:space="preserve"/>
      </w:r>
    </w:p>
    <w:p>
      <w:pPr>
        <w:pBdr>
          <w:left w:val="single" w:color="1E293B" w:sz="12" w:space="8"/>
        </w:pBdr>
        <w:spacing w:after="80" w:before="80"/>
        <w:ind w:left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El color azul #0033A0 NO forma parte del sistema de diseño actual. La plataforma usa una paleta de dos colores principales (naranja #FF6600 + slate #1E293B) sobre fondos neutros. No debe usarse azul en nuevos componentes.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Tipografía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sistema usa la familia tipográfica Barlow, instalada vía Google Fonts mediante next/font. Esta familia ofrece pesos desde 300 (Light) hasta 700 (Bold), y su variante Condensed se usa para los titulares de impacto como el headline de la landing page.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Fuente de Cuerpo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Barlow — variable CSS: --font-sans. Usada en todo el texto de la interfaz: párrafos, labels, tablas, botones, formularios.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Fuente de Display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Barlow Condensed — variable CSS: --font-display. Usada únicamente en titulares grandes de alto impacto (ej. 'Limpia tus Datos. Multiplica tu Valor.').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Fuente Monoespaciada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Cascadia Code / ui-monospace — variable CSS: --font-mono. Usada en bloques de código, IDs técnicos y valores de datasets.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Tamaño Base (Body)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— tamaño raíz del navegador. Los tamaños se expresan en rem relativos a este valor.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Peso Regular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 — texto de párrafo, labels secundarios, texto muted.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Peso Semibold / Bold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 / 700 — encabezados de cards, títulos de sección, botones, etiquetas de campo activo.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Suavizado de fuente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-webkit-font-smoothing: antialiased — activado globalmente para máxima nitidez en pantallas Retina.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Color de texto principal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#1E293B (--color-text) — slate oscuro, con suficiente contraste sobre fondos beige y blancos.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Color de texto secundario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#64748B (--color-text-muted) — para información de apoyo, placeholders y subtítulos.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Sistema de Espaciado y Radios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--spacing-xs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 — separaciones mínimas internas (ej. entre icono y texto).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--spacing-sm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8px — padding interno de badges, chips y elementos compactos.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--spacing-md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16px — padding estándar de secciones y contenedores.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--spacing-lg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— separación entre cards y grupos de contenido.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--spacing-xl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32px — márgenes de sección dentro de una página.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--spacing-2xl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48px — separación entre bloques mayores (landing sections).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--radius (principal)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10px — border-radius de cards, modales y botones principales.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4px — chips, badges, tooltips pequeños.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9999px — elementos completamente redondeados (pills, avatares).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1px 3px rgba(0,0,0,.08), 0 4px 16px rgba(0,0,0,.04) — sombra de cards base.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4px 6px rgba(0,0,0,.07), 0 10px 30px rgba(0,0,0,.06) — sombra de modales y elementos elevados.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Estilo de Componentes de Interfaz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6.5.1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#FF6600, texto blanco, border-radius 10px, Barlow 500. Hover: fondo #CC5200. Ejemplos: 'Ingresar', 'Seleccionar Archivo', 'Aprobar', 'Guardar cambios'.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Botón Fantasma / Ghost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transparente, sin borde visible, texto #1E293B. Hover: fondo #F1F5F9. Ejemplo: 'Ver cómo funciona' en la landing.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Botón Destructivo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#DC2626, texto blanco. Solo para eliminar datasets o rechazar anomalías de manera irreversible.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Botón Deshabilitado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Opacidad 50%, cursor not-allowed. Mismos colores del tipo correspondiente.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Botón de Acción Secundaria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#F1F5F9, texto #1E293B, sin borde. Ejemplo: 'Gestionar' en las tarjetas de anomalías.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6.5.2 Cards y Contenedores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Base (.card-base)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background: #FFFFFF, border-radius: 10px, box-shadow: var(--shadow-sm). Sin bordes visibles.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de Anomalía — Valores Faltantes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#FEF3C7 (warning-light), título en #D97706. Sección con fondo amarillo cálido.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de Anomalía — Duplicados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#FEE2E2 (error-light), título en #DC2626. Sección con fondo rojo suave.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de Anomalía — Formato Inválido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#FEE2E2 (error-light), título en #DC2626. Mismo tratamiento que Duplicados.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Panel de encabezado de revisión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#1A1A1A (sidebar-bg), texto blanco. Contraste máximo para identificar el dataset activo.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Sidebar de navegación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Fondo #1A1A1A, ítem activo con fondo #FF6600. Texto normal: #94A3B8. Texto hover: blanco.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6.5.3 Estados de Dataset (Badges)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de Texto / Fondo</w:t>
            </w:r>
          </w:p>
        </w:tc>
        <w:tc>
          <w:tcPr>
            <w:tcW w:type="dxa" w:w="5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Listo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#059669 / #D1FAE5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procesamiento ETL finalizó correctamente. El dataset está listo para descarga.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Procesando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 / #FEF3C7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Worker ETL está procesando el dataset. El usuario puede ver el progreso en tiempo real.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Fallido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 / #FEE2E2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procesamiento falló por error interno. Se muestra mensaje de error en el detalle.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Pendiente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#64748B / #F1F5F9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dataset está encolado esperando procesamiento. Se muestra el número de pendientes.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Animaciones y Motion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fade-up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Animación de entrada principal. Los elementos aparecen desde 16px abajo con opacidad 0→1 en 450ms. Curva: cubic-bezier(0.23, 1, 0.32, 1) (ease-out-expo).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animate-delay-*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Clases de retardo (100ms a 500ms) para crear efecto de cascada al cargar secciones.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usuario tiene activado 'Reducir movimiento' (prefers-reduced-motion), todas las animaciones fade-up se desactivan automáticamente.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Easing drawer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cubic-bezier(0.32, 0.72, 0, 1) — usado en paneles laterales y modales deslizantes.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6.7 Logo y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Nombre de marca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PYMES-AI (versión corta) / PymesDataStrategy (nombre técnico completo)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Logo en sidebar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Isotipo naranja (cuadrado redondeado) + texto 'PYMES-AI' en Barlow Bold. Sobre fondo #1A1A1A.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Logo en landing (header)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Isotipo naranja + texto 'PYMES-AI' en Barlow Bold. Sobre fondo beige #F7F5F2.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Versión solo texto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Usar 'PYMES-AI' en Barlow Bold 700, color #FF6600 sobre fondo claro, o blanco sobre fondo oscuro.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Zona de protección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Mínimo 16px de espacio libre alrededor del logo en cualquier aplicación.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Usos no permitidos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cambiar el naranja del isotipo, no usar el logo sobre fondos que generen bajo contraste, no deformar proporciones.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Anexos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Anexo A — Endpoints REST del API Gateway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1440"/>
        <w:gridCol w:w="3280"/>
      </w:tblGrid>
      <w:tr>
        <w:trPr>
          <w:tblHeader/>
        </w:trPr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Iniciar sesión — retorna JWT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Registrar nuevo usuario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datasets del usuario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Subir nuevo dataset (multipart)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Obtener detalle de un dataset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Archivar/eliminar un dataset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/api/v1/datasets/:id/anomalies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anomalías del dataset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/api/v1/datasets/:id/decisions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Enviar decisiones HITL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/api/v1/datasets/:id/transform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Disparar transformación ETL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/api/v1/datasets/:id/download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Descargar archivo procesado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/api/v1/datasets/:id/nl-edit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Procesar instrucción NL con Gemini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/api/v1/events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JWT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SSE — eventos en tiempo real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check del API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Anexo B — Variables de Entorno Completas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  <w:tc>
          <w:tcPr>
            <w:tcW w:type="dxa" w:w="4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completa de conexión PostgreSQL (generada automáticamente por Docker)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REDIS_HOST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 del servidor Redis (valor Docker: redis)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REDIS_PORT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Puerto Redis (default: 6379)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MINIO_ENDPOINT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 MinIO (valor Docker: minio)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MINIO_PORT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Puerto API MinIO (default: 9000)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Clave de acceso MinIO (MINIO_ROOT_USER)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Clave secreta MinIO (MINIO_ROOT_PASSWORD)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Secreto para firmar tokens JWT — usar valor aleatorio en producción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Tiempo de vida del token (default: 7d)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Clave API de Google Gemini (Google AI Studio)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GEMINI_MODEL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Modelo Gemini a usar (default: gemini-2.5-flash)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INSTRUCTION_PARSER_ENABLED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Habilita NL Edit (default: true)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N8N_SUGGESTIONS_WEBHOOK_URL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webhook n8n para notificaciones (opcional)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N8N_WEBHOOK_SECRET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Secreto compartido con n8n para validar llamadas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Secreto NextAuth para cifrar sesiones del Frontend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base del Frontend (http://localhost:3001 en dev)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WORKER_CONCURRENCY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Jobs paralelos del Worker (default: 2)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Anexo C — Tipos de Anomalías Detectadas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Algoritmo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MISSING_VALUE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✓ Implementado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Detecta celdas vacías, nulas o con valores centinela (NaN, None, '').  Sugerencia AI: FILL con media (numérico) o moda (categórico).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OUTLIER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✓ Implementado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Detecta valores estadísticamente atípicos usando Z-score (umbral &gt; 3σ). También evalúa valores fuera del rango P5-P95. Solo aplica a columnas numéricas.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DUPLICATE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Detectará filas idénticas o casi idénticas basado en hash de columnas clave. Previsto para próxima versión.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FORMAT_ERROR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Detectará valores que no cumplen el formato esperado (fechas, correos, teléfonos). Previsto para próxima versión.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INCONSISTENCY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Detectará inconsistencias entre columnas relacionadas (ej. fecha_fin &lt; fecha_inicio). Previsto para próxima versión.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Anexo D —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Servicio Node.js que expone los endpoints REST, gestiona autenticación y orquesta los demás servicios.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BullMQ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Biblioteca de cola de trabajos basada en Redis. Coordina el procesamiento asíncrono entre el API y el Worker.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Dataset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Archivo CSV o Excel cargado por el usuario para ser procesado y limpiado por el sistema.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Herramienta para definir y ejecutar aplicaciones multi-contenedor con un solo archivo de configuración.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ETL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Extract, Transform, Load — proceso de extracción, transformación y carga de datos. El Worker realiza el proceso ET.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Gemini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Familia de modelos de lenguaje de gran escala (LLM) de Google. El sistema usa gemini-2.5-flash.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HITL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Human-in-the-Loop — paradigma donde el ser humano valida y aprueba las decisiones de IA antes de aplicarlas.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Web Token — estándar para transmitir información de autenticación de forma segura entre cliente y servidor.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Servidor de almacenamiento de objetos compatible con Amazon S3. Almacena los archivos de datasets y resultados.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NL Edit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Natural Language Edit — módulo que interpreta instrucciones en español y las convierte en operaciones de datos.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Outlier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atípico estadísticamente: un dato que se aleja significativamente del patrón general de la columna.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Polars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Biblioteca Python de alto rendimiento para procesamiento de datos tabulares (alternativa a pandas, escrita en Rust).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 (Object-Relational Mapper) para Node.js/TypeScript que gestiona el esquema y las consultas a PostgreSQL.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Server-Sent Events — tecnología web que permite al servidor enviar actualizaciones en tiempo real al navegador.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Worker ETL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Servicio Python (FastAPI) que consume trabajos de la cola Redis y procesa datasets con Polars y Gemini.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Z-score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Medida estadística que indica cuántas desviaciones estándar se aleja un valor de la media de la distribución.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Anexo E — Referencias y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Next.js 16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https://nextjs.org/docs — Framework React para Frontend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https://fastapi.tiangolo.com — Framework web Python para el Worker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Polars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https://pola.rs — Biblioteca de DataFrames de alto rendimiento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Prisma ORM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https://www.prisma.io/docs — ORM para PostgreSQL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BullMQ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https://docs.bullmq.io — Cola de trabajos con Redis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https://ai.google.dev/docs — API de IA generativa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https://min.io/docs — Almacenamiento S3-compatible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https://docs.docker.com/compose — Orquestación de contenedores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https://tanstack.com/query — Estado de servidor en React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NextAuth v5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https://authjs.dev — Autenticación para Next.js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2E8F0" w:sz="4" w:space="2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PymesDataStrategy — Documentación Técnica v1.0.0  ·  Abril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Fundación Universitaria Compensar  ·  GIIS SW-005  ·  Bogotá, Colombia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PymesDataStrategy  ·  Documentación Técnica  ·  Pág.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6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2026-04-19T01:43:01.426Z</dcterms:created>
  <dcterms:modified xsi:type="dcterms:W3CDTF">2026-04-19T01:43:01.426Z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