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3E993" w14:textId="3A610503" w:rsidR="00DF7662" w:rsidRPr="002B197E" w:rsidRDefault="00DF7662" w:rsidP="002B197E">
      <w:pPr>
        <w:pStyle w:val="Ttulo1"/>
        <w:spacing w:before="0" w:line="240" w:lineRule="auto"/>
        <w:jc w:val="center"/>
        <w:rPr>
          <w:rFonts w:ascii="Times New Roman" w:hAnsi="Times New Roman" w:cs="Times New Roman"/>
          <w:b/>
          <w:bCs/>
          <w:color w:val="auto"/>
          <w:sz w:val="24"/>
          <w:szCs w:val="24"/>
        </w:rPr>
      </w:pPr>
      <w:r w:rsidRPr="002B197E">
        <w:rPr>
          <w:rFonts w:ascii="Times New Roman" w:hAnsi="Times New Roman" w:cs="Times New Roman"/>
          <w:b/>
          <w:bCs/>
          <w:color w:val="auto"/>
          <w:sz w:val="24"/>
          <w:szCs w:val="24"/>
        </w:rPr>
        <w:t>Revisión de Literatura: La Condición Marshall-Lerner y su Impacto en el Comercio Exterior</w:t>
      </w:r>
      <w:r w:rsidR="002B197E" w:rsidRPr="002B197E">
        <w:rPr>
          <w:rFonts w:ascii="Times New Roman" w:hAnsi="Times New Roman" w:cs="Times New Roman"/>
          <w:b/>
          <w:bCs/>
          <w:color w:val="auto"/>
          <w:sz w:val="24"/>
          <w:szCs w:val="24"/>
        </w:rPr>
        <w:t xml:space="preserve"> (Original)</w:t>
      </w:r>
    </w:p>
    <w:p w14:paraId="370A1D8E" w14:textId="77777777" w:rsidR="002B197E" w:rsidRPr="002B197E" w:rsidRDefault="002B197E" w:rsidP="002B197E">
      <w:pPr>
        <w:rPr>
          <w:rFonts w:ascii="Times New Roman" w:hAnsi="Times New Roman" w:cs="Times New Roman"/>
          <w:sz w:val="24"/>
          <w:szCs w:val="24"/>
        </w:rPr>
      </w:pPr>
    </w:p>
    <w:p w14:paraId="38865432" w14:textId="77777777" w:rsidR="00DF7662" w:rsidRPr="002B197E" w:rsidRDefault="00DF7662" w:rsidP="002B197E">
      <w:pPr>
        <w:pStyle w:val="NormalWeb"/>
        <w:spacing w:before="0" w:beforeAutospacing="0" w:after="0" w:afterAutospacing="0"/>
        <w:jc w:val="both"/>
      </w:pPr>
      <w:r w:rsidRPr="002B197E">
        <w:t>La relación entre las variaciones del tipo de cambio real (TCR) y el comportamiento de la balanza comercial ha constituido uno de los temas más relevantes de la macroeconomía abierta y del comercio internacional. En términos generales, las fluctuaciones cambiarias alteran los precios relativos entre los bienes nacionales y extranjeros, modificando los incentivos de exportadores e importadores y, en consecuencia, el desempeño del sector externo de una economía.</w:t>
      </w:r>
    </w:p>
    <w:p w14:paraId="1458CAD9" w14:textId="77777777" w:rsidR="00DF7662" w:rsidRPr="002B197E" w:rsidRDefault="00DF7662" w:rsidP="002B197E">
      <w:pPr>
        <w:pStyle w:val="NormalWeb"/>
        <w:spacing w:before="0" w:beforeAutospacing="0" w:after="0" w:afterAutospacing="0"/>
        <w:jc w:val="both"/>
      </w:pPr>
    </w:p>
    <w:p w14:paraId="2D6AA1A7" w14:textId="77777777" w:rsidR="00DF7662" w:rsidRPr="002B197E" w:rsidRDefault="00DF7662" w:rsidP="002B197E">
      <w:pPr>
        <w:pStyle w:val="NormalWeb"/>
        <w:spacing w:before="0" w:beforeAutospacing="0" w:after="0" w:afterAutospacing="0"/>
        <w:jc w:val="both"/>
      </w:pPr>
      <w:r w:rsidRPr="002B197E">
        <w:t xml:space="preserve">En este contexto surge la condición Marshall-Lerner (ML), la cual establece que una depreciación del tipo de cambio real solo mejorará el saldo de la balanza comercial si la suma de las elasticidades precio de las exportaciones e importaciones es superior a la unidad. Según </w:t>
      </w:r>
      <w:proofErr w:type="spellStart"/>
      <w:r w:rsidRPr="002B197E">
        <w:t>Covri</w:t>
      </w:r>
      <w:proofErr w:type="spellEnd"/>
      <w:r w:rsidRPr="002B197E">
        <w:t xml:space="preserve"> Rivera y Enríquez Castillo (2022), este principio constituye uno de los principales mecanismos teóricos para explicar cómo las variaciones cambiarias afectan la competitividad internacional de un país. Cuando las exportaciones y las importaciones responden significativamente a los cambios en los precios relativos, una depreciación real puede incrementar la demanda de bienes nacionales y reducir la de bienes extranjeros, generando una mejora de la balanza comercial en el largo plazo.</w:t>
      </w:r>
    </w:p>
    <w:p w14:paraId="6EC84DB2" w14:textId="77777777" w:rsidR="00DF7662" w:rsidRPr="002B197E" w:rsidRDefault="00DF7662" w:rsidP="002B197E">
      <w:pPr>
        <w:pStyle w:val="NormalWeb"/>
        <w:spacing w:before="0" w:beforeAutospacing="0" w:after="0" w:afterAutospacing="0"/>
        <w:jc w:val="both"/>
      </w:pPr>
    </w:p>
    <w:p w14:paraId="15599130" w14:textId="77777777" w:rsidR="00DF7662" w:rsidRPr="002B197E" w:rsidRDefault="00DF7662" w:rsidP="002B197E">
      <w:pPr>
        <w:pStyle w:val="NormalWeb"/>
        <w:spacing w:before="0" w:beforeAutospacing="0" w:after="0" w:afterAutospacing="0"/>
        <w:jc w:val="both"/>
      </w:pPr>
      <w:r w:rsidRPr="002B197E">
        <w:t>De manera complementaria, la hipótesis de la Curva J sostiene que los efectos de una depreciación no son inmediatos. Como señala Delgadillo Chavarría (2022), la balanza comercial suele experimentar un deterioro inicial debido a la rigidez de los contratos comerciales y a los rezagos en los ajustes de las cantidades exportadas e importadas. Sin embargo, a medida que los agentes económicos modifican sus patrones de consumo y producción, la balanza comercial puede recuperarse y presentar mejoras en el largo plazo.</w:t>
      </w:r>
    </w:p>
    <w:p w14:paraId="2403445A" w14:textId="77777777" w:rsidR="00DF7662" w:rsidRPr="002B197E" w:rsidRDefault="00DF7662" w:rsidP="002B197E">
      <w:pPr>
        <w:pStyle w:val="NormalWeb"/>
        <w:spacing w:before="0" w:beforeAutospacing="0" w:after="0" w:afterAutospacing="0"/>
        <w:jc w:val="both"/>
        <w:rPr>
          <w:rFonts w:eastAsiaTheme="majorEastAsia"/>
          <w:b/>
          <w:bCs/>
          <w:lang w:eastAsia="en-US"/>
        </w:rPr>
      </w:pPr>
    </w:p>
    <w:p w14:paraId="487CDADD" w14:textId="24D1E9CE" w:rsidR="00DF7662" w:rsidRPr="002B197E" w:rsidRDefault="00DF7662" w:rsidP="002B197E">
      <w:pPr>
        <w:pStyle w:val="NormalWeb"/>
        <w:spacing w:before="0" w:beforeAutospacing="0" w:after="0" w:afterAutospacing="0"/>
        <w:jc w:val="both"/>
      </w:pPr>
      <w:r w:rsidRPr="002B197E">
        <w:t>La evidencia empírica demuestra que el cumplimiento de la condición Marshall-Lerner depende en gran medida de las características estructurales de cada economía. En América del Sur, Rendón Obando y Ramírez Hassan (2005) encuentran que la condición se cumple para el caso colombiano durante el período 1980-2001. Los autores sostienen que la sensibilidad de las exportaciones e importaciones ante las variaciones de los precios relativos permite que una depreciación real contribuya a mejorar el saldo comercial del país.</w:t>
      </w:r>
    </w:p>
    <w:p w14:paraId="78E5295F" w14:textId="77777777" w:rsidR="00DF7662" w:rsidRPr="002B197E" w:rsidRDefault="00DF7662" w:rsidP="002B197E">
      <w:pPr>
        <w:pStyle w:val="NormalWeb"/>
        <w:spacing w:before="0" w:beforeAutospacing="0" w:after="0" w:afterAutospacing="0"/>
        <w:jc w:val="both"/>
      </w:pPr>
      <w:r w:rsidRPr="002B197E">
        <w:t xml:space="preserve">De manera similar, </w:t>
      </w:r>
      <w:proofErr w:type="spellStart"/>
      <w:r w:rsidRPr="002B197E">
        <w:t>Covri</w:t>
      </w:r>
      <w:proofErr w:type="spellEnd"/>
      <w:r w:rsidRPr="002B197E">
        <w:t xml:space="preserve"> Rivera y Enríquez Castillo (2022) analizan la relación comercial entre Ecuador y Estados Unidos para el período 2000-2020 y concluyen que la condición Marshall-Lerner se verifica en el largo plazo. Sus resultados indican que una depreciación real puede fortalecer la posición comercial ecuatoriana, aunque los ajustes de corto plazo son relativamente limitados.</w:t>
      </w:r>
    </w:p>
    <w:p w14:paraId="0A712098" w14:textId="77777777" w:rsidR="00DF7662" w:rsidRPr="002B197E" w:rsidRDefault="00DF7662" w:rsidP="002B197E">
      <w:pPr>
        <w:pStyle w:val="NormalWeb"/>
        <w:spacing w:before="0" w:beforeAutospacing="0" w:after="0" w:afterAutospacing="0"/>
        <w:jc w:val="both"/>
      </w:pPr>
    </w:p>
    <w:p w14:paraId="30FC1D18" w14:textId="77777777" w:rsidR="00DF7662" w:rsidRPr="002B197E" w:rsidRDefault="00DF7662" w:rsidP="002B197E">
      <w:pPr>
        <w:pStyle w:val="NormalWeb"/>
        <w:spacing w:before="0" w:beforeAutospacing="0" w:after="0" w:afterAutospacing="0"/>
        <w:jc w:val="both"/>
      </w:pPr>
      <w:r w:rsidRPr="002B197E">
        <w:t xml:space="preserve">No obstante, la literatura también presenta resultados contrarios. Delgadillo Chavarría (2022) demuestra que la condición Marshall-Lerner no se cumple en Bolivia, atribuyendo este resultado a una estructura productiva poco diversificada y altamente dependiente de recursos naturales y de bienes importados necesarios para la producción interna. Asimismo, </w:t>
      </w:r>
      <w:proofErr w:type="spellStart"/>
      <w:r w:rsidRPr="002B197E">
        <w:t>Shahzad</w:t>
      </w:r>
      <w:proofErr w:type="spellEnd"/>
      <w:r w:rsidRPr="002B197E">
        <w:t xml:space="preserve"> et al. (2017), al estudiar siete países del sur de Asia, encuentran que la depreciación cambiaria no genera mejoras en la balanza comercial debido a la elevada dependencia de importaciones de petróleo y maquinaria, cuya demanda es relativamente inelástica frente a los cambios de precios.</w:t>
      </w:r>
    </w:p>
    <w:p w14:paraId="52F4EC32" w14:textId="77777777" w:rsidR="00DF7662" w:rsidRPr="002B197E" w:rsidRDefault="00DF7662" w:rsidP="002B197E">
      <w:pPr>
        <w:pStyle w:val="NormalWeb"/>
        <w:spacing w:before="0" w:beforeAutospacing="0" w:after="0" w:afterAutospacing="0"/>
        <w:jc w:val="both"/>
      </w:pPr>
    </w:p>
    <w:p w14:paraId="19162923" w14:textId="77777777" w:rsidR="00DF7662" w:rsidRPr="002B197E" w:rsidRDefault="00DF7662" w:rsidP="002B197E">
      <w:pPr>
        <w:pStyle w:val="NormalWeb"/>
        <w:spacing w:before="0" w:beforeAutospacing="0" w:after="0" w:afterAutospacing="0"/>
        <w:jc w:val="both"/>
      </w:pPr>
      <w:r w:rsidRPr="002B197E">
        <w:lastRenderedPageBreak/>
        <w:t>Por otra parte, en economías desarrolladas, Dong (2017) evidencia que el cumplimiento de la condición Marshall-Lerner no es estable en el tiempo. Mediante el análisis de las relaciones comerciales entre Estados Unidos y los países del G7, el autor concluye que los efectos de las depreciaciones reales pueden variar dependiendo de las condiciones económicas y de los diferentes regímenes de depreciación. Estos hallazgos ponen de manifiesto que la efectividad de las políticas cambiarias depende no solo de las elasticidades comerciales, sino también de las características institucionales y productivas de cada economía.</w:t>
      </w:r>
    </w:p>
    <w:p w14:paraId="0234D792" w14:textId="77777777" w:rsidR="00DF7662" w:rsidRPr="002B197E" w:rsidRDefault="00DF7662" w:rsidP="002B197E">
      <w:pPr>
        <w:pStyle w:val="NormalWeb"/>
        <w:spacing w:before="0" w:beforeAutospacing="0" w:after="0" w:afterAutospacing="0"/>
        <w:jc w:val="both"/>
      </w:pPr>
    </w:p>
    <w:p w14:paraId="3E1FC0CD" w14:textId="2C61F33C" w:rsidR="00DF7662" w:rsidRPr="002B197E" w:rsidRDefault="00DF7662" w:rsidP="002B197E">
      <w:pPr>
        <w:pStyle w:val="NormalWeb"/>
        <w:spacing w:before="0" w:beforeAutospacing="0" w:after="0" w:afterAutospacing="0"/>
        <w:jc w:val="both"/>
      </w:pPr>
      <w:r w:rsidRPr="002B197E">
        <w:t>A pesar de los importantes avances alcanzados por la literatura, todavía existen vacíos de investigación relevantes. Rocha et al. (2024) destacan que numerosos estudios utilizan modelos estáticos que no logran capturar adecuadamente las asimetrías y los cambios estructurales presentes en las economías. En consecuencia, sugieren la incorporación de metodologías más flexibles, como los modelos VAR Bayesianos, que permiten analizar con mayor precisión las respuestas dinámicas de la balanza comercial ante diferentes shocks cambiarios.</w:t>
      </w:r>
    </w:p>
    <w:p w14:paraId="44BD03A9" w14:textId="77777777" w:rsidR="00DF7662" w:rsidRPr="002B197E" w:rsidRDefault="00DF7662" w:rsidP="002B197E">
      <w:pPr>
        <w:pStyle w:val="NormalWeb"/>
        <w:spacing w:before="0" w:beforeAutospacing="0" w:after="0" w:afterAutospacing="0"/>
        <w:jc w:val="both"/>
      </w:pPr>
    </w:p>
    <w:p w14:paraId="63345F92" w14:textId="77777777" w:rsidR="00DF7662" w:rsidRPr="002B197E" w:rsidRDefault="00DF7662" w:rsidP="002B197E">
      <w:pPr>
        <w:pStyle w:val="NormalWeb"/>
        <w:spacing w:before="0" w:beforeAutospacing="0" w:after="0" w:afterAutospacing="0"/>
        <w:jc w:val="both"/>
      </w:pPr>
      <w:r w:rsidRPr="002B197E">
        <w:t>Asimismo, Rendón Obando y Ramírez Hassan (2005) resaltan la importancia de realizar estudios bilaterales específicos entre países, ya que los análisis agregados pueden ocultar diferencias importantes en las estructuras de comercio exterior y en las elasticidades de exportaciones e importaciones. Por ello, todavía existe espacio para desarrollar investigaciones que examinen relaciones comerciales particulares y que permitan comprender de mejor manera los efectos del tipo de cambio real sobre la balanza comercial.</w:t>
      </w:r>
    </w:p>
    <w:p w14:paraId="6B4361D7" w14:textId="77777777" w:rsidR="00DF7662" w:rsidRPr="002B197E" w:rsidRDefault="00DF7662" w:rsidP="002B197E">
      <w:pPr>
        <w:pStyle w:val="NormalWeb"/>
        <w:spacing w:before="0" w:beforeAutospacing="0" w:after="0" w:afterAutospacing="0"/>
        <w:jc w:val="both"/>
      </w:pPr>
    </w:p>
    <w:p w14:paraId="0634CB35" w14:textId="77777777" w:rsidR="00DF7662" w:rsidRPr="002B197E" w:rsidRDefault="00DF7662" w:rsidP="002B197E">
      <w:pPr>
        <w:pStyle w:val="NormalWeb"/>
        <w:spacing w:before="0" w:beforeAutospacing="0" w:after="0" w:afterAutospacing="0"/>
        <w:jc w:val="both"/>
      </w:pPr>
      <w:r w:rsidRPr="002B197E">
        <w:t>A partir de la literatura revisada, no se identificaron estudios que analicen de manera específica el cumplimiento de la condición Marshall-Lerner entre Ecuador y China. Esta ausencia de evidencia constituye una oportunidad de investigación relevante, especialmente si se considera que China se ha convertido en uno de los principales socios comerciales de Ecuador y desempeña un papel cada vez más importante en su comercio exterior.</w:t>
      </w:r>
    </w:p>
    <w:p w14:paraId="32645A11" w14:textId="77777777" w:rsidR="00DF7662" w:rsidRPr="002B197E" w:rsidRDefault="00DF7662" w:rsidP="002B197E">
      <w:pPr>
        <w:pStyle w:val="NormalWeb"/>
        <w:spacing w:before="0" w:beforeAutospacing="0" w:after="0" w:afterAutospacing="0"/>
        <w:jc w:val="both"/>
      </w:pPr>
    </w:p>
    <w:p w14:paraId="4EDFFF4A" w14:textId="77777777" w:rsidR="00DF7662" w:rsidRPr="002B197E" w:rsidRDefault="00DF7662" w:rsidP="002B197E">
      <w:pPr>
        <w:pStyle w:val="NormalWeb"/>
        <w:spacing w:before="0" w:beforeAutospacing="0" w:after="0" w:afterAutospacing="0"/>
        <w:jc w:val="both"/>
      </w:pPr>
      <w:r w:rsidRPr="002B197E">
        <w:t>En este sentido, un estudio enfocado en la relación bilateral Ecuador-China permitiría evaluar cómo las variaciones del tipo de cambio real afectan la balanza comercial de una economía dolarizada frente a un socio comercial que mantiene un régimen monetario diferente. Además, la utilización de metodologías econométricas robustas, como los modelos VAR Bayesianos propuestos por Rocha et al. (2024), podría proporcionar evidencia más precisa sobre la dinámica de ajuste del comercio bilateral y contribuir al diseño de políticas económicas orientadas a fortalecer la competitividad externa del Ecuador.</w:t>
      </w:r>
    </w:p>
    <w:p w14:paraId="501A9332" w14:textId="23CE83C8" w:rsidR="00DF7662" w:rsidRPr="00DF7662" w:rsidRDefault="00DF7662" w:rsidP="002B197E">
      <w:pPr>
        <w:spacing w:before="100" w:beforeAutospacing="1" w:after="100" w:afterAutospacing="1" w:line="240" w:lineRule="auto"/>
        <w:jc w:val="center"/>
        <w:rPr>
          <w:rFonts w:ascii="Times New Roman" w:eastAsia="Times New Roman" w:hAnsi="Times New Roman" w:cs="Times New Roman"/>
          <w:sz w:val="24"/>
          <w:szCs w:val="24"/>
          <w:lang w:eastAsia="es-EC"/>
        </w:rPr>
      </w:pPr>
      <w:r w:rsidRPr="00DF7662">
        <w:rPr>
          <w:rFonts w:ascii="Times New Roman" w:eastAsia="Times New Roman" w:hAnsi="Times New Roman" w:cs="Times New Roman"/>
          <w:b/>
          <w:bCs/>
          <w:sz w:val="24"/>
          <w:szCs w:val="24"/>
          <w:lang w:eastAsia="es-EC"/>
        </w:rPr>
        <w:t>Revisión de Literatura: La Condición Marshall-Lerner y su Impacto en el Comercio Exterior</w:t>
      </w:r>
      <w:r w:rsidR="002B197E" w:rsidRPr="002B197E">
        <w:rPr>
          <w:rFonts w:ascii="Times New Roman" w:eastAsia="Times New Roman" w:hAnsi="Times New Roman" w:cs="Times New Roman"/>
          <w:b/>
          <w:bCs/>
          <w:sz w:val="24"/>
          <w:szCs w:val="24"/>
          <w:lang w:eastAsia="es-EC"/>
        </w:rPr>
        <w:t xml:space="preserve"> (Traducido)</w:t>
      </w:r>
    </w:p>
    <w:p w14:paraId="268DBF4E"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La relación entre las variaciones del tipo de cambio real (TCR) y el comportamiento de la balanza comercial ha constituido uno de los temas más relevantes de la macroeconomía abierta y del comercio internacional. En términos generales, las fluctuaciones cambiarias alteran los precios relativos de los bienes nacionales y extranjeros, modificando así los incentivos de los exportadores e importadores y, en consecuencia, el desempeño del sector externo de una economía.</w:t>
      </w:r>
    </w:p>
    <w:p w14:paraId="26F0DA85"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lastRenderedPageBreak/>
        <w:t xml:space="preserve">En este contexto, la condición Marshall-Lerner (ML) surge como una proposición teórica fundamental. Esta establece que una depreciación del tipo de cambio real mejorará la balanza comercial únicamente si la suma de las elasticidades precio de las exportaciones y las importaciones es superior a la unidad. Según </w:t>
      </w:r>
      <w:proofErr w:type="spellStart"/>
      <w:r w:rsidRPr="00DF7662">
        <w:rPr>
          <w:rFonts w:ascii="Times New Roman" w:eastAsia="Times New Roman" w:hAnsi="Times New Roman" w:cs="Times New Roman"/>
          <w:sz w:val="24"/>
          <w:szCs w:val="24"/>
          <w:lang w:eastAsia="es-EC"/>
        </w:rPr>
        <w:t>Covri</w:t>
      </w:r>
      <w:proofErr w:type="spellEnd"/>
      <w:r w:rsidRPr="00DF7662">
        <w:rPr>
          <w:rFonts w:ascii="Times New Roman" w:eastAsia="Times New Roman" w:hAnsi="Times New Roman" w:cs="Times New Roman"/>
          <w:sz w:val="24"/>
          <w:szCs w:val="24"/>
          <w:lang w:eastAsia="es-EC"/>
        </w:rPr>
        <w:t xml:space="preserve"> Rivera y Enríquez Castillo (2022), este principio constituye uno de los principales mecanismos teóricos para explicar cómo las variaciones del tipo de cambio afectan la competitividad internacional de un país. Cuando las exportaciones y las importaciones responden significativamente a los cambios en los precios relativos, una depreciación real puede incrementar la demanda de bienes nacionales y reducir la demanda de bienes extranjeros, mejorando en última instancia la balanza comercial en el largo plazo.</w:t>
      </w:r>
    </w:p>
    <w:p w14:paraId="00FBE93A"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De manera complementaria, la hipótesis de la Curva J sugiere que los efectos de una depreciación no son inmediatos. Como señalan Delgadillo Chavarría (2022), la balanza comercial suele deteriorarse inicialmente debido a la rigidez de los contratos comerciales y a los rezagos en el ajuste de las cantidades exportadas e importadas. Sin embargo, a medida que los agentes económicos ajustan gradualmente sus patrones de consumo y producción, la balanza comercial puede recuperarse y mejorar en el largo plazo.</w:t>
      </w:r>
    </w:p>
    <w:p w14:paraId="5B2EFF6E"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 xml:space="preserve">La evidencia empírica indica que la validez de la condición Marshall-Lerner depende en gran medida de las características estructurales de cada economía. En América del Sur, Rendón Obando y Ramírez Hassan (2005) encuentran que la condición se cumple para el caso colombiano durante el período 1980-2001. Los autores sostienen que la sensibilidad de las exportaciones e importaciones frente a las variaciones de los precios relativos permite que una depreciación real mejore la balanza comercial del país. De manera similar, </w:t>
      </w:r>
      <w:proofErr w:type="spellStart"/>
      <w:r w:rsidRPr="00DF7662">
        <w:rPr>
          <w:rFonts w:ascii="Times New Roman" w:eastAsia="Times New Roman" w:hAnsi="Times New Roman" w:cs="Times New Roman"/>
          <w:sz w:val="24"/>
          <w:szCs w:val="24"/>
          <w:lang w:eastAsia="es-EC"/>
        </w:rPr>
        <w:t>Covri</w:t>
      </w:r>
      <w:proofErr w:type="spellEnd"/>
      <w:r w:rsidRPr="00DF7662">
        <w:rPr>
          <w:rFonts w:ascii="Times New Roman" w:eastAsia="Times New Roman" w:hAnsi="Times New Roman" w:cs="Times New Roman"/>
          <w:sz w:val="24"/>
          <w:szCs w:val="24"/>
          <w:lang w:eastAsia="es-EC"/>
        </w:rPr>
        <w:t xml:space="preserve"> Rivera y Enríquez Castillo (2022) analizan la relación comercial entre Ecuador y Estados Unidos durante el período 2000-2020 y concluyen que la condición Marshall-Lerner se verifica en el largo plazo. Sus resultados indican que una depreciación real puede fortalecer la posición comercial del Ecuador, aunque los ajustes de corto plazo siguen siendo relativamente limitados.</w:t>
      </w:r>
    </w:p>
    <w:p w14:paraId="350A02FE"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 xml:space="preserve">No obstante, la literatura también presenta hallazgos contrapuestos. Delgadillo Chavarría (2022) demuestra que la condición Marshall-Lerner no se cumple en Bolivia, atribuyendo este resultado a una estructura productiva poco diversificada y altamente dependiente de los recursos naturales y de los insumos importados requeridos para la producción interna. Asimismo, </w:t>
      </w:r>
      <w:proofErr w:type="spellStart"/>
      <w:r w:rsidRPr="00DF7662">
        <w:rPr>
          <w:rFonts w:ascii="Times New Roman" w:eastAsia="Times New Roman" w:hAnsi="Times New Roman" w:cs="Times New Roman"/>
          <w:sz w:val="24"/>
          <w:szCs w:val="24"/>
          <w:lang w:eastAsia="es-EC"/>
        </w:rPr>
        <w:t>Shahzad</w:t>
      </w:r>
      <w:proofErr w:type="spellEnd"/>
      <w:r w:rsidRPr="00DF7662">
        <w:rPr>
          <w:rFonts w:ascii="Times New Roman" w:eastAsia="Times New Roman" w:hAnsi="Times New Roman" w:cs="Times New Roman"/>
          <w:sz w:val="24"/>
          <w:szCs w:val="24"/>
          <w:lang w:eastAsia="es-EC"/>
        </w:rPr>
        <w:t xml:space="preserve"> et al. (2017), en su estudio sobre siete países del sur de Asia, encuentran que la depreciación cambiaria no mejora la balanza comercial debido a la elevada dependencia de las importaciones de petróleo y maquinaria, cuya demanda es relativamente inelástica ante los cambios en los precios.</w:t>
      </w:r>
    </w:p>
    <w:p w14:paraId="5C219C05"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Por otra parte, en las economías desarrolladas, Dong (2017) demuestra que el cumplimiento de la condición Marshall-Lerner no es estable a lo largo del tiempo. Mediante el análisis de las relaciones comerciales entre Estados Unidos y los países del G7, el autor concluye que los efectos de las depreciaciones reales varían de acuerdo con las condiciones económicas y los diferentes regímenes de depreciación. Estos hallazgos sugieren que la efectividad de las políticas cambiarias depende no solo de las elasticidades comerciales, sino también de las características institucionales y productivas de cada economía.</w:t>
      </w:r>
    </w:p>
    <w:p w14:paraId="106B4C2D"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 xml:space="preserve">A pesar de los avances significativos alcanzados en la literatura, aún persisten importantes vacíos de investigación. Rocha et al. (2024) destacan que numerosos estudios se basan en </w:t>
      </w:r>
      <w:r w:rsidRPr="00DF7662">
        <w:rPr>
          <w:rFonts w:ascii="Times New Roman" w:eastAsia="Times New Roman" w:hAnsi="Times New Roman" w:cs="Times New Roman"/>
          <w:sz w:val="24"/>
          <w:szCs w:val="24"/>
          <w:lang w:eastAsia="es-EC"/>
        </w:rPr>
        <w:lastRenderedPageBreak/>
        <w:t>modelos estáticos que no logran captar adecuadamente las asimetrías y los cambios estructurales presentes en las economías. En consecuencia, recomiendan el uso de metodologías más flexibles, como los modelos Vector Autorregresivos Bayesianos (BVAR), los cuales permiten realizar un análisis más preciso de las respuestas dinámicas de la balanza comercial ante diferentes shocks cambiarios.</w:t>
      </w:r>
    </w:p>
    <w:p w14:paraId="7F562473"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Asimismo, Rendón Obando y Ramírez Hassan (2005) enfatizan la importancia de realizar estudios bilaterales específicos entre países, ya que los análisis agregados pueden ocultar diferencias sustanciales en las estructuras comerciales y en las elasticidades de las exportaciones e importaciones. Por consiguiente, todavía existe un amplio espacio para desarrollar investigaciones que examinen relaciones comerciales bilaterales específicas y permitan comprender de mejor manera los efectos del tipo de cambio real sobre la balanza comercial.</w:t>
      </w:r>
    </w:p>
    <w:p w14:paraId="26C14245" w14:textId="77777777" w:rsidR="00DF7662" w:rsidRPr="00DF7662" w:rsidRDefault="00DF7662" w:rsidP="00DF766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A partir de la literatura revisada, no se identificaron estudios que analicen de manera específica la validez de la condición Marshall-Lerner en la relación comercial bilateral entre Ecuador y China. Esta ausencia de evidencia representa una oportunidad de investigación relevante, particularmente si se considera que China se ha convertido en uno de los principales socios comerciales del Ecuador y desempeña un papel cada vez más importante en el comercio exterior del país.</w:t>
      </w:r>
    </w:p>
    <w:p w14:paraId="5B9B91FE" w14:textId="5B2844B1" w:rsidR="005F1AB2" w:rsidRPr="005F1AB2" w:rsidRDefault="00DF7662" w:rsidP="005F1AB2">
      <w:pPr>
        <w:spacing w:before="100" w:beforeAutospacing="1" w:after="100" w:afterAutospacing="1" w:line="240" w:lineRule="auto"/>
        <w:jc w:val="both"/>
        <w:rPr>
          <w:rFonts w:ascii="Times New Roman" w:eastAsia="Times New Roman" w:hAnsi="Times New Roman" w:cs="Times New Roman"/>
          <w:sz w:val="24"/>
          <w:szCs w:val="24"/>
          <w:lang w:eastAsia="es-EC"/>
        </w:rPr>
      </w:pPr>
      <w:r w:rsidRPr="00DF7662">
        <w:rPr>
          <w:rFonts w:ascii="Times New Roman" w:eastAsia="Times New Roman" w:hAnsi="Times New Roman" w:cs="Times New Roman"/>
          <w:sz w:val="24"/>
          <w:szCs w:val="24"/>
          <w:lang w:eastAsia="es-EC"/>
        </w:rPr>
        <w:t>En este sentido, un estudio centrado en la relación bilateral Ecuador-China permitiría evaluar cómo las variaciones del tipo de cambio real afectan la balanza comercial de una economía dolarizada en su relación comercial con un socio que opera bajo un régimen monetario diferente. Además, la utilización de metodologías econométricas robustas, como los modelos VAR Bayesianos propuestos por Rocha et al. (2024), podría proporcionar evidencia más precisa sobre la dinámica de ajuste del comercio bilateral y contribuir al diseño de políticas económicas orientadas a fortalecer la competitividad externa del Ecuador.</w:t>
      </w:r>
    </w:p>
    <w:p w14:paraId="7F3B03CD" w14:textId="55626F68" w:rsidR="005F1AB2" w:rsidRPr="005F1AB2" w:rsidRDefault="005F1AB2" w:rsidP="005F1AB2">
      <w:pPr>
        <w:spacing w:before="100" w:beforeAutospacing="1" w:after="100" w:afterAutospacing="1" w:line="240" w:lineRule="auto"/>
        <w:jc w:val="center"/>
        <w:rPr>
          <w:rFonts w:ascii="Times New Roman" w:eastAsia="Times New Roman" w:hAnsi="Times New Roman" w:cs="Times New Roman"/>
          <w:b/>
          <w:bCs/>
          <w:sz w:val="24"/>
          <w:szCs w:val="24"/>
          <w:lang w:val="en-US" w:eastAsia="es-EC"/>
        </w:rPr>
      </w:pPr>
      <w:r w:rsidRPr="005F1AB2">
        <w:rPr>
          <w:rFonts w:ascii="Times New Roman" w:eastAsia="Times New Roman" w:hAnsi="Times New Roman" w:cs="Times New Roman"/>
          <w:b/>
          <w:bCs/>
          <w:sz w:val="24"/>
          <w:szCs w:val="24"/>
          <w:lang w:val="en-US" w:eastAsia="es-EC"/>
        </w:rPr>
        <w:t>Literature Review: The Marshall-Lerner Condition and Its Impact on Foreign Trade</w:t>
      </w:r>
      <w:r w:rsidRPr="005F1AB2">
        <w:rPr>
          <w:rFonts w:ascii="Times New Roman" w:eastAsia="Times New Roman" w:hAnsi="Times New Roman" w:cs="Times New Roman"/>
          <w:b/>
          <w:bCs/>
          <w:sz w:val="24"/>
          <w:szCs w:val="24"/>
          <w:lang w:val="en-US" w:eastAsia="es-EC"/>
        </w:rPr>
        <w:t xml:space="preserve"> (</w:t>
      </w:r>
      <w:proofErr w:type="spellStart"/>
      <w:r w:rsidRPr="005F1AB2">
        <w:rPr>
          <w:rFonts w:ascii="Times New Roman" w:eastAsia="Times New Roman" w:hAnsi="Times New Roman" w:cs="Times New Roman"/>
          <w:b/>
          <w:bCs/>
          <w:sz w:val="24"/>
          <w:szCs w:val="24"/>
          <w:lang w:val="en-US" w:eastAsia="es-EC"/>
        </w:rPr>
        <w:t>Texto</w:t>
      </w:r>
      <w:proofErr w:type="spellEnd"/>
      <w:r>
        <w:rPr>
          <w:rFonts w:ascii="Times New Roman" w:eastAsia="Times New Roman" w:hAnsi="Times New Roman" w:cs="Times New Roman"/>
          <w:b/>
          <w:bCs/>
          <w:sz w:val="24"/>
          <w:szCs w:val="24"/>
          <w:lang w:val="en-US" w:eastAsia="es-EC"/>
        </w:rPr>
        <w:t xml:space="preserve"> final</w:t>
      </w:r>
      <w:r w:rsidRPr="005F1AB2">
        <w:rPr>
          <w:rFonts w:ascii="Times New Roman" w:eastAsia="Times New Roman" w:hAnsi="Times New Roman" w:cs="Times New Roman"/>
          <w:b/>
          <w:bCs/>
          <w:sz w:val="24"/>
          <w:szCs w:val="24"/>
          <w:lang w:val="en-US" w:eastAsia="es-EC"/>
        </w:rPr>
        <w:t xml:space="preserve"> </w:t>
      </w:r>
      <w:proofErr w:type="spellStart"/>
      <w:r w:rsidRPr="005F1AB2">
        <w:rPr>
          <w:rFonts w:ascii="Times New Roman" w:eastAsia="Times New Roman" w:hAnsi="Times New Roman" w:cs="Times New Roman"/>
          <w:b/>
          <w:bCs/>
          <w:sz w:val="24"/>
          <w:szCs w:val="24"/>
          <w:lang w:val="en-US" w:eastAsia="es-EC"/>
        </w:rPr>
        <w:t>traducido</w:t>
      </w:r>
      <w:proofErr w:type="spellEnd"/>
      <w:r w:rsidRPr="005F1AB2">
        <w:rPr>
          <w:rFonts w:ascii="Times New Roman" w:eastAsia="Times New Roman" w:hAnsi="Times New Roman" w:cs="Times New Roman"/>
          <w:b/>
          <w:bCs/>
          <w:sz w:val="24"/>
          <w:szCs w:val="24"/>
          <w:lang w:val="en-US" w:eastAsia="es-EC"/>
        </w:rPr>
        <w:t xml:space="preserve"> al </w:t>
      </w:r>
      <w:proofErr w:type="spellStart"/>
      <w:r w:rsidRPr="005F1AB2">
        <w:rPr>
          <w:rFonts w:ascii="Times New Roman" w:eastAsia="Times New Roman" w:hAnsi="Times New Roman" w:cs="Times New Roman"/>
          <w:b/>
          <w:bCs/>
          <w:sz w:val="24"/>
          <w:szCs w:val="24"/>
          <w:lang w:val="en-US" w:eastAsia="es-EC"/>
        </w:rPr>
        <w:t>inglés</w:t>
      </w:r>
      <w:proofErr w:type="spellEnd"/>
      <w:r w:rsidRPr="005F1AB2">
        <w:rPr>
          <w:rFonts w:ascii="Times New Roman" w:eastAsia="Times New Roman" w:hAnsi="Times New Roman" w:cs="Times New Roman"/>
          <w:b/>
          <w:bCs/>
          <w:sz w:val="24"/>
          <w:szCs w:val="24"/>
          <w:lang w:val="en-US" w:eastAsia="es-EC"/>
        </w:rPr>
        <w:t>)</w:t>
      </w:r>
    </w:p>
    <w:p w14:paraId="3B0B03DF" w14:textId="160DBF0B"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The relationship between variations in the real exchange rate (RER) and the behavior of the trade balance has been one of the most relevant topics in open-economy macroeconomics and international trade. In general terms, exchange rate fluctuations alter the relative prices of domestic and foreign goods, thereby modifying the incentives of exporters and importers and, consequently, the performance of an economy's external sector.</w:t>
      </w:r>
    </w:p>
    <w:p w14:paraId="0F6434BD" w14:textId="0B0560DA"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 xml:space="preserve">In this context, the Marshall-Lerner (ML) condition emerges as a fundamental theoretical proposition. It states that a depreciation of the real exchange rate will improve the trade balance only if the sum of the price elasticities of exports and imports exceeds unity. According to </w:t>
      </w:r>
      <w:proofErr w:type="spellStart"/>
      <w:r w:rsidRPr="005F1AB2">
        <w:rPr>
          <w:rFonts w:ascii="Times New Roman" w:eastAsia="Times New Roman" w:hAnsi="Times New Roman" w:cs="Times New Roman"/>
          <w:sz w:val="24"/>
          <w:szCs w:val="24"/>
          <w:lang w:val="en-US" w:eastAsia="es-EC"/>
        </w:rPr>
        <w:t>Covri</w:t>
      </w:r>
      <w:proofErr w:type="spellEnd"/>
      <w:r w:rsidRPr="005F1AB2">
        <w:rPr>
          <w:rFonts w:ascii="Times New Roman" w:eastAsia="Times New Roman" w:hAnsi="Times New Roman" w:cs="Times New Roman"/>
          <w:sz w:val="24"/>
          <w:szCs w:val="24"/>
          <w:lang w:val="en-US" w:eastAsia="es-EC"/>
        </w:rPr>
        <w:t xml:space="preserve"> Rivera and </w:t>
      </w:r>
      <w:proofErr w:type="spellStart"/>
      <w:r w:rsidRPr="005F1AB2">
        <w:rPr>
          <w:rFonts w:ascii="Times New Roman" w:eastAsia="Times New Roman" w:hAnsi="Times New Roman" w:cs="Times New Roman"/>
          <w:sz w:val="24"/>
          <w:szCs w:val="24"/>
          <w:lang w:val="en-US" w:eastAsia="es-EC"/>
        </w:rPr>
        <w:t>Enríquez</w:t>
      </w:r>
      <w:proofErr w:type="spellEnd"/>
      <w:r w:rsidRPr="005F1AB2">
        <w:rPr>
          <w:rFonts w:ascii="Times New Roman" w:eastAsia="Times New Roman" w:hAnsi="Times New Roman" w:cs="Times New Roman"/>
          <w:sz w:val="24"/>
          <w:szCs w:val="24"/>
          <w:lang w:val="en-US" w:eastAsia="es-EC"/>
        </w:rPr>
        <w:t xml:space="preserve"> Castillo (2022), this principle constitutes one of the main theoretical mechanisms explaining how exchange rate variations affect a country's international competitiveness. When exports and imports respond significantly to changes in relative prices, a real depreciation can increase the demand for domestic goods and reduce the demand for foreign goods, ultimately improving the trade balance in the long run.</w:t>
      </w:r>
    </w:p>
    <w:p w14:paraId="3F31164E" w14:textId="593180D5"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lastRenderedPageBreak/>
        <w:t xml:space="preserve">Complementarily, the J-curve hypothesis suggests that the effects of a depreciation are not immediate. As noted by Delgadillo </w:t>
      </w:r>
      <w:proofErr w:type="spellStart"/>
      <w:r w:rsidRPr="005F1AB2">
        <w:rPr>
          <w:rFonts w:ascii="Times New Roman" w:eastAsia="Times New Roman" w:hAnsi="Times New Roman" w:cs="Times New Roman"/>
          <w:sz w:val="24"/>
          <w:szCs w:val="24"/>
          <w:lang w:val="en-US" w:eastAsia="es-EC"/>
        </w:rPr>
        <w:t>Chavarría</w:t>
      </w:r>
      <w:proofErr w:type="spellEnd"/>
      <w:r w:rsidRPr="005F1AB2">
        <w:rPr>
          <w:rFonts w:ascii="Times New Roman" w:eastAsia="Times New Roman" w:hAnsi="Times New Roman" w:cs="Times New Roman"/>
          <w:sz w:val="24"/>
          <w:szCs w:val="24"/>
          <w:lang w:val="en-US" w:eastAsia="es-EC"/>
        </w:rPr>
        <w:t xml:space="preserve"> (2022), the trade balance often initially deteriorates due to the rigidity of trade contracts and the adjustment lags in export and import quantities. However, as economic agents gradually adjust their consumption and production patterns, the trade balance may recover and improve in the long run.</w:t>
      </w:r>
    </w:p>
    <w:p w14:paraId="0F367F78" w14:textId="32E027EC"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 xml:space="preserve">Empirical evidence indicates that the validity of the Marshall-Lerner condition depends largely on the structural characteristics of each economy. In South America, </w:t>
      </w:r>
      <w:proofErr w:type="spellStart"/>
      <w:r w:rsidRPr="005F1AB2">
        <w:rPr>
          <w:rFonts w:ascii="Times New Roman" w:eastAsia="Times New Roman" w:hAnsi="Times New Roman" w:cs="Times New Roman"/>
          <w:sz w:val="24"/>
          <w:szCs w:val="24"/>
          <w:lang w:val="en-US" w:eastAsia="es-EC"/>
        </w:rPr>
        <w:t>Rendón</w:t>
      </w:r>
      <w:proofErr w:type="spellEnd"/>
      <w:r w:rsidRPr="005F1AB2">
        <w:rPr>
          <w:rFonts w:ascii="Times New Roman" w:eastAsia="Times New Roman" w:hAnsi="Times New Roman" w:cs="Times New Roman"/>
          <w:sz w:val="24"/>
          <w:szCs w:val="24"/>
          <w:lang w:val="en-US" w:eastAsia="es-EC"/>
        </w:rPr>
        <w:t xml:space="preserve"> Obando and Ramírez Hassan (2005) find that the condition holds for Colombia during the period 1980–2001. The authors argue that the sensitivity of exports and imports to changes in relative prices allows a real depreciation to improve the country's trade balance. Similarly, </w:t>
      </w:r>
      <w:proofErr w:type="spellStart"/>
      <w:r w:rsidRPr="005F1AB2">
        <w:rPr>
          <w:rFonts w:ascii="Times New Roman" w:eastAsia="Times New Roman" w:hAnsi="Times New Roman" w:cs="Times New Roman"/>
          <w:sz w:val="24"/>
          <w:szCs w:val="24"/>
          <w:lang w:val="en-US" w:eastAsia="es-EC"/>
        </w:rPr>
        <w:t>Covri</w:t>
      </w:r>
      <w:proofErr w:type="spellEnd"/>
      <w:r w:rsidRPr="005F1AB2">
        <w:rPr>
          <w:rFonts w:ascii="Times New Roman" w:eastAsia="Times New Roman" w:hAnsi="Times New Roman" w:cs="Times New Roman"/>
          <w:sz w:val="24"/>
          <w:szCs w:val="24"/>
          <w:lang w:val="en-US" w:eastAsia="es-EC"/>
        </w:rPr>
        <w:t xml:space="preserve"> Rivera and </w:t>
      </w:r>
      <w:proofErr w:type="spellStart"/>
      <w:r w:rsidRPr="005F1AB2">
        <w:rPr>
          <w:rFonts w:ascii="Times New Roman" w:eastAsia="Times New Roman" w:hAnsi="Times New Roman" w:cs="Times New Roman"/>
          <w:sz w:val="24"/>
          <w:szCs w:val="24"/>
          <w:lang w:val="en-US" w:eastAsia="es-EC"/>
        </w:rPr>
        <w:t>Enríquez</w:t>
      </w:r>
      <w:proofErr w:type="spellEnd"/>
      <w:r w:rsidRPr="005F1AB2">
        <w:rPr>
          <w:rFonts w:ascii="Times New Roman" w:eastAsia="Times New Roman" w:hAnsi="Times New Roman" w:cs="Times New Roman"/>
          <w:sz w:val="24"/>
          <w:szCs w:val="24"/>
          <w:lang w:val="en-US" w:eastAsia="es-EC"/>
        </w:rPr>
        <w:t xml:space="preserve"> Castillo (2022) analyze the trade relationship between Ecuador and the United States during the period 2000–2020 and conclude that the Marshall-Lerner condition holds in the long run. Their findings indicate that a real depreciation can strengthen Ecuador's trade position, although short-run adjustments remain relatively limited.</w:t>
      </w:r>
    </w:p>
    <w:p w14:paraId="715D097B" w14:textId="5C68589B"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 xml:space="preserve">Nevertheless, the literature also presents contrasting findings. Delgadillo </w:t>
      </w:r>
      <w:proofErr w:type="spellStart"/>
      <w:r w:rsidRPr="005F1AB2">
        <w:rPr>
          <w:rFonts w:ascii="Times New Roman" w:eastAsia="Times New Roman" w:hAnsi="Times New Roman" w:cs="Times New Roman"/>
          <w:sz w:val="24"/>
          <w:szCs w:val="24"/>
          <w:lang w:val="en-US" w:eastAsia="es-EC"/>
        </w:rPr>
        <w:t>Chavarría</w:t>
      </w:r>
      <w:proofErr w:type="spellEnd"/>
      <w:r w:rsidRPr="005F1AB2">
        <w:rPr>
          <w:rFonts w:ascii="Times New Roman" w:eastAsia="Times New Roman" w:hAnsi="Times New Roman" w:cs="Times New Roman"/>
          <w:sz w:val="24"/>
          <w:szCs w:val="24"/>
          <w:lang w:val="en-US" w:eastAsia="es-EC"/>
        </w:rPr>
        <w:t xml:space="preserve"> (2022) demonstrates that the Marshall-Lerner condition does not hold in Bolivia, attributing this outcome to a poorly diversified productive structure that is highly dependent on natural resources and on imported inputs required for domestic production. Likewise, Shahzad et al. (2017), in their study of seven South Asian countries, find that exchange rate depreciation does not improve the trade balance because these economies exhibit a high dependence on imports of oil and machinery, whose demand is relatively inelastic with respect to price changes.</w:t>
      </w:r>
    </w:p>
    <w:p w14:paraId="04940BC6" w14:textId="2A1C2447"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Furthermore, in developed economies, Dong (2017) shows that the fulfillment of the Marshall-Lerner condition is not stable over time. By analyzing trade relationships between the United States and the G7 countries, the author concludes that the effects of real depreciations vary according to economic conditions and different depreciation regimes. These findings suggest that the effectiveness of exchange rate policies depends not only on trade elasticities but also on the institutional and productive characteristics of each economy.</w:t>
      </w:r>
    </w:p>
    <w:p w14:paraId="5C0DB7ED" w14:textId="14A875D6"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 xml:space="preserve">Despite the significant advances achieved in the literature, important research gaps remain. Rocha et al. (2024) highlight </w:t>
      </w:r>
      <w:proofErr w:type="gramStart"/>
      <w:r w:rsidRPr="005F1AB2">
        <w:rPr>
          <w:rFonts w:ascii="Times New Roman" w:eastAsia="Times New Roman" w:hAnsi="Times New Roman" w:cs="Times New Roman"/>
          <w:sz w:val="24"/>
          <w:szCs w:val="24"/>
          <w:lang w:val="en-US" w:eastAsia="es-EC"/>
        </w:rPr>
        <w:t>that numerous studies</w:t>
      </w:r>
      <w:proofErr w:type="gramEnd"/>
      <w:r w:rsidRPr="005F1AB2">
        <w:rPr>
          <w:rFonts w:ascii="Times New Roman" w:eastAsia="Times New Roman" w:hAnsi="Times New Roman" w:cs="Times New Roman"/>
          <w:sz w:val="24"/>
          <w:szCs w:val="24"/>
          <w:lang w:val="en-US" w:eastAsia="es-EC"/>
        </w:rPr>
        <w:t xml:space="preserve"> rely on static models that fail to adequately capture asymmetries and structural changes within economies. Consequently, they recommend the use of more flexible methodologies, such as Bayesian Vector Autoregressive (BVAR) models, which allow for a more precise analysis of the dynamic responses of the trade balance to different exchange rate shocks.</w:t>
      </w:r>
    </w:p>
    <w:p w14:paraId="1D66F336" w14:textId="1DBD5581"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 xml:space="preserve">Likewise, </w:t>
      </w:r>
      <w:proofErr w:type="spellStart"/>
      <w:r w:rsidRPr="005F1AB2">
        <w:rPr>
          <w:rFonts w:ascii="Times New Roman" w:eastAsia="Times New Roman" w:hAnsi="Times New Roman" w:cs="Times New Roman"/>
          <w:sz w:val="24"/>
          <w:szCs w:val="24"/>
          <w:lang w:val="en-US" w:eastAsia="es-EC"/>
        </w:rPr>
        <w:t>Rendón</w:t>
      </w:r>
      <w:proofErr w:type="spellEnd"/>
      <w:r w:rsidRPr="005F1AB2">
        <w:rPr>
          <w:rFonts w:ascii="Times New Roman" w:eastAsia="Times New Roman" w:hAnsi="Times New Roman" w:cs="Times New Roman"/>
          <w:sz w:val="24"/>
          <w:szCs w:val="24"/>
          <w:lang w:val="en-US" w:eastAsia="es-EC"/>
        </w:rPr>
        <w:t xml:space="preserve"> Obando and Ramírez Hassan (2005) emphasize the importance of conducting country-specific bilateral studies, as aggregate analyses may conceal substantial differences in trade structures and in export and import elasticities. Therefore, there remains considerable scope for research that examines specific bilateral trade relationships and provides a deeper understanding of the effects of the real exchange rate on the trade balance.</w:t>
      </w:r>
    </w:p>
    <w:p w14:paraId="6C608FDD" w14:textId="038609A3"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 xml:space="preserve">Based on the reviewed literature, no studies were identified that specifically analyze the validity of the Marshall-Lerner condition in the bilateral trade relationship between </w:t>
      </w:r>
      <w:r w:rsidRPr="005F1AB2">
        <w:rPr>
          <w:rFonts w:ascii="Times New Roman" w:eastAsia="Times New Roman" w:hAnsi="Times New Roman" w:cs="Times New Roman"/>
          <w:sz w:val="24"/>
          <w:szCs w:val="24"/>
          <w:lang w:val="en-US" w:eastAsia="es-EC"/>
        </w:rPr>
        <w:lastRenderedPageBreak/>
        <w:t>Ecuador and China. This lack of evidence represents a relevant research opportunity, particularly considering that China has become one of Ecuador's principal trading partners and plays an increasingly important role in the country's foreign trade.</w:t>
      </w:r>
    </w:p>
    <w:p w14:paraId="4F7BF3E4" w14:textId="77777777" w:rsidR="005F1AB2" w:rsidRPr="005F1AB2" w:rsidRDefault="005F1AB2" w:rsidP="005F1AB2">
      <w:pPr>
        <w:spacing w:before="100" w:beforeAutospacing="1" w:after="100" w:afterAutospacing="1" w:line="240" w:lineRule="auto"/>
        <w:jc w:val="both"/>
        <w:rPr>
          <w:rFonts w:ascii="Times New Roman" w:eastAsia="Times New Roman" w:hAnsi="Times New Roman" w:cs="Times New Roman"/>
          <w:sz w:val="24"/>
          <w:szCs w:val="24"/>
          <w:lang w:val="en-US" w:eastAsia="es-EC"/>
        </w:rPr>
      </w:pPr>
      <w:r w:rsidRPr="005F1AB2">
        <w:rPr>
          <w:rFonts w:ascii="Times New Roman" w:eastAsia="Times New Roman" w:hAnsi="Times New Roman" w:cs="Times New Roman"/>
          <w:sz w:val="24"/>
          <w:szCs w:val="24"/>
          <w:lang w:val="en-US" w:eastAsia="es-EC"/>
        </w:rPr>
        <w:t>In this regard, a study focused on the Ecuador-China bilateral relationship would make it possible to assess how variations in the real exchange rate affect the trade balance of a dollarized economy in its trade relationship with a partner operating under a different monetary regime. Moreover, the use of robust econometric methodologies, such as the Bayesian VAR models proposed by Rocha et al. (2024), could provide more precise evidence regarding the adjustment dynamics of bilateral trade and contribute to the design of economic policies aimed at strengthening Ecuador's external competitiveness.</w:t>
      </w:r>
    </w:p>
    <w:p w14:paraId="20619059" w14:textId="0D66FCEB" w:rsidR="002B197E" w:rsidRPr="002B197E" w:rsidRDefault="002B197E" w:rsidP="002B197E">
      <w:pPr>
        <w:spacing w:before="100" w:beforeAutospacing="1" w:after="100" w:afterAutospacing="1" w:line="240" w:lineRule="auto"/>
        <w:jc w:val="both"/>
        <w:rPr>
          <w:rFonts w:ascii="Times New Roman" w:eastAsia="Times New Roman" w:hAnsi="Times New Roman" w:cs="Times New Roman"/>
          <w:b/>
          <w:bCs/>
          <w:sz w:val="24"/>
          <w:szCs w:val="24"/>
          <w:lang w:eastAsia="es-EC"/>
        </w:rPr>
      </w:pPr>
      <w:r w:rsidRPr="002B197E">
        <w:rPr>
          <w:rFonts w:ascii="Times New Roman" w:eastAsia="Times New Roman" w:hAnsi="Times New Roman" w:cs="Times New Roman"/>
          <w:b/>
          <w:bCs/>
          <w:sz w:val="24"/>
          <w:szCs w:val="24"/>
          <w:lang w:eastAsia="es-EC"/>
        </w:rPr>
        <w:t>Instrucciones</w:t>
      </w:r>
    </w:p>
    <w:p w14:paraId="0EAAAB58" w14:textId="0FDAFE8B" w:rsidR="002B197E" w:rsidRPr="002B197E" w:rsidRDefault="002B197E" w:rsidP="002B197E">
      <w:pPr>
        <w:spacing w:before="100" w:beforeAutospacing="1" w:after="100" w:afterAutospacing="1" w:line="240" w:lineRule="auto"/>
        <w:jc w:val="both"/>
        <w:rPr>
          <w:rFonts w:ascii="Times New Roman" w:eastAsia="Times New Roman" w:hAnsi="Times New Roman" w:cs="Times New Roman"/>
          <w:sz w:val="24"/>
          <w:szCs w:val="24"/>
          <w:lang w:eastAsia="es-EC"/>
        </w:rPr>
      </w:pPr>
      <w:r w:rsidRPr="002B197E">
        <w:rPr>
          <w:rFonts w:ascii="Times New Roman" w:eastAsia="Times New Roman" w:hAnsi="Times New Roman" w:cs="Times New Roman"/>
          <w:sz w:val="24"/>
          <w:szCs w:val="24"/>
          <w:lang w:eastAsia="es-EC"/>
        </w:rPr>
        <w:t xml:space="preserve">Herramientas usadas para la traducción: </w:t>
      </w:r>
      <w:proofErr w:type="spellStart"/>
      <w:r w:rsidRPr="002B197E">
        <w:rPr>
          <w:rFonts w:ascii="Times New Roman" w:eastAsia="Times New Roman" w:hAnsi="Times New Roman" w:cs="Times New Roman"/>
          <w:sz w:val="24"/>
          <w:szCs w:val="24"/>
          <w:lang w:eastAsia="es-EC"/>
        </w:rPr>
        <w:t>ChatGPT</w:t>
      </w:r>
      <w:proofErr w:type="spellEnd"/>
      <w:r w:rsidRPr="002B197E">
        <w:rPr>
          <w:rFonts w:ascii="Times New Roman" w:eastAsia="Times New Roman" w:hAnsi="Times New Roman" w:cs="Times New Roman"/>
          <w:sz w:val="24"/>
          <w:szCs w:val="24"/>
          <w:lang w:eastAsia="es-EC"/>
        </w:rPr>
        <w:t xml:space="preserve"> para la traducción inicial del documento; </w:t>
      </w:r>
      <w:proofErr w:type="spellStart"/>
      <w:r w:rsidRPr="002B197E">
        <w:rPr>
          <w:rFonts w:ascii="Times New Roman" w:eastAsia="Times New Roman" w:hAnsi="Times New Roman" w:cs="Times New Roman"/>
          <w:sz w:val="24"/>
          <w:szCs w:val="24"/>
          <w:lang w:eastAsia="es-EC"/>
        </w:rPr>
        <w:t>DeepL</w:t>
      </w:r>
      <w:proofErr w:type="spellEnd"/>
      <w:r w:rsidRPr="002B197E">
        <w:rPr>
          <w:rFonts w:ascii="Times New Roman" w:eastAsia="Times New Roman" w:hAnsi="Times New Roman" w:cs="Times New Roman"/>
          <w:sz w:val="24"/>
          <w:szCs w:val="24"/>
          <w:lang w:eastAsia="es-EC"/>
        </w:rPr>
        <w:t xml:space="preserve"> y </w:t>
      </w:r>
      <w:proofErr w:type="spellStart"/>
      <w:r w:rsidRPr="002B197E">
        <w:rPr>
          <w:rFonts w:ascii="Times New Roman" w:eastAsia="Times New Roman" w:hAnsi="Times New Roman" w:cs="Times New Roman"/>
          <w:sz w:val="24"/>
          <w:szCs w:val="24"/>
          <w:lang w:eastAsia="es-EC"/>
        </w:rPr>
        <w:t>Linguee</w:t>
      </w:r>
      <w:proofErr w:type="spellEnd"/>
      <w:r w:rsidRPr="002B197E">
        <w:rPr>
          <w:rFonts w:ascii="Times New Roman" w:eastAsia="Times New Roman" w:hAnsi="Times New Roman" w:cs="Times New Roman"/>
          <w:sz w:val="24"/>
          <w:szCs w:val="24"/>
          <w:lang w:eastAsia="es-EC"/>
        </w:rPr>
        <w:t xml:space="preserve"> para la verificación de términos técnicos y terminología especializada; Grammarly para la revisión y mejora del inglés académico; y back-</w:t>
      </w:r>
      <w:proofErr w:type="spellStart"/>
      <w:r w:rsidRPr="002B197E">
        <w:rPr>
          <w:rFonts w:ascii="Times New Roman" w:eastAsia="Times New Roman" w:hAnsi="Times New Roman" w:cs="Times New Roman"/>
          <w:sz w:val="24"/>
          <w:szCs w:val="24"/>
          <w:lang w:eastAsia="es-EC"/>
        </w:rPr>
        <w:t>translation</w:t>
      </w:r>
      <w:proofErr w:type="spellEnd"/>
      <w:r w:rsidRPr="002B197E">
        <w:rPr>
          <w:rFonts w:ascii="Times New Roman" w:eastAsia="Times New Roman" w:hAnsi="Times New Roman" w:cs="Times New Roman"/>
          <w:sz w:val="24"/>
          <w:szCs w:val="24"/>
          <w:lang w:eastAsia="es-EC"/>
        </w:rPr>
        <w:t xml:space="preserve"> se realizó en </w:t>
      </w:r>
      <w:proofErr w:type="spellStart"/>
      <w:r w:rsidRPr="002B197E">
        <w:rPr>
          <w:rFonts w:ascii="Times New Roman" w:eastAsia="Times New Roman" w:hAnsi="Times New Roman" w:cs="Times New Roman"/>
          <w:sz w:val="24"/>
          <w:szCs w:val="24"/>
          <w:lang w:eastAsia="es-EC"/>
        </w:rPr>
        <w:t>ChatGPT</w:t>
      </w:r>
      <w:proofErr w:type="spellEnd"/>
      <w:r w:rsidRPr="002B197E">
        <w:rPr>
          <w:rFonts w:ascii="Times New Roman" w:eastAsia="Times New Roman" w:hAnsi="Times New Roman" w:cs="Times New Roman"/>
          <w:sz w:val="24"/>
          <w:szCs w:val="24"/>
          <w:lang w:eastAsia="es-EC"/>
        </w:rPr>
        <w:t xml:space="preserve"> para comprobar que el significado original del texto se mantuvo después del proceso de traducción.</w:t>
      </w:r>
    </w:p>
    <w:p w14:paraId="43018AEE" w14:textId="23882E32" w:rsidR="002B197E" w:rsidRPr="002B197E" w:rsidRDefault="002B197E" w:rsidP="002B197E">
      <w:pPr>
        <w:spacing w:before="100" w:beforeAutospacing="1" w:after="100" w:afterAutospacing="1" w:line="240" w:lineRule="auto"/>
        <w:jc w:val="both"/>
        <w:rPr>
          <w:rFonts w:ascii="Times New Roman" w:eastAsia="Times New Roman" w:hAnsi="Times New Roman" w:cs="Times New Roman"/>
          <w:sz w:val="24"/>
          <w:szCs w:val="24"/>
          <w:lang w:eastAsia="es-EC"/>
        </w:rPr>
      </w:pPr>
      <w:r w:rsidRPr="002B197E">
        <w:rPr>
          <w:rFonts w:ascii="Times New Roman" w:eastAsia="Times New Roman" w:hAnsi="Times New Roman" w:cs="Times New Roman"/>
          <w:sz w:val="24"/>
          <w:szCs w:val="24"/>
          <w:lang w:eastAsia="es-EC"/>
        </w:rPr>
        <w:t xml:space="preserve">Términos técnicos que verifiqué fueron: Marshall-Lerner </w:t>
      </w:r>
      <w:proofErr w:type="spellStart"/>
      <w:r w:rsidRPr="002B197E">
        <w:rPr>
          <w:rFonts w:ascii="Times New Roman" w:eastAsia="Times New Roman" w:hAnsi="Times New Roman" w:cs="Times New Roman"/>
          <w:sz w:val="24"/>
          <w:szCs w:val="24"/>
          <w:lang w:eastAsia="es-EC"/>
        </w:rPr>
        <w:t>condition</w:t>
      </w:r>
      <w:proofErr w:type="spellEnd"/>
      <w:r w:rsidRPr="002B197E">
        <w:rPr>
          <w:rFonts w:ascii="Times New Roman" w:eastAsia="Times New Roman" w:hAnsi="Times New Roman" w:cs="Times New Roman"/>
          <w:sz w:val="24"/>
          <w:szCs w:val="24"/>
          <w:lang w:eastAsia="es-EC"/>
        </w:rPr>
        <w:t xml:space="preserve">, Real </w:t>
      </w:r>
      <w:proofErr w:type="spellStart"/>
      <w:r w:rsidRPr="002B197E">
        <w:rPr>
          <w:rFonts w:ascii="Times New Roman" w:eastAsia="Times New Roman" w:hAnsi="Times New Roman" w:cs="Times New Roman"/>
          <w:sz w:val="24"/>
          <w:szCs w:val="24"/>
          <w:lang w:eastAsia="es-EC"/>
        </w:rPr>
        <w:t>exchange</w:t>
      </w:r>
      <w:proofErr w:type="spellEnd"/>
      <w:r w:rsidRPr="002B197E">
        <w:rPr>
          <w:rFonts w:ascii="Times New Roman" w:eastAsia="Times New Roman" w:hAnsi="Times New Roman" w:cs="Times New Roman"/>
          <w:sz w:val="24"/>
          <w:szCs w:val="24"/>
          <w:lang w:eastAsia="es-EC"/>
        </w:rPr>
        <w:t xml:space="preserve"> </w:t>
      </w:r>
      <w:proofErr w:type="spellStart"/>
      <w:r w:rsidRPr="002B197E">
        <w:rPr>
          <w:rFonts w:ascii="Times New Roman" w:eastAsia="Times New Roman" w:hAnsi="Times New Roman" w:cs="Times New Roman"/>
          <w:sz w:val="24"/>
          <w:szCs w:val="24"/>
          <w:lang w:eastAsia="es-EC"/>
        </w:rPr>
        <w:t>rate</w:t>
      </w:r>
      <w:proofErr w:type="spellEnd"/>
      <w:r w:rsidRPr="002B197E">
        <w:rPr>
          <w:rFonts w:ascii="Times New Roman" w:eastAsia="Times New Roman" w:hAnsi="Times New Roman" w:cs="Times New Roman"/>
          <w:sz w:val="24"/>
          <w:szCs w:val="24"/>
          <w:lang w:eastAsia="es-EC"/>
        </w:rPr>
        <w:t xml:space="preserve"> (RER), </w:t>
      </w:r>
      <w:proofErr w:type="spellStart"/>
      <w:r w:rsidRPr="002B197E">
        <w:rPr>
          <w:rFonts w:ascii="Times New Roman" w:eastAsia="Times New Roman" w:hAnsi="Times New Roman" w:cs="Times New Roman"/>
          <w:sz w:val="24"/>
          <w:szCs w:val="24"/>
          <w:lang w:eastAsia="es-EC"/>
        </w:rPr>
        <w:t>Trade</w:t>
      </w:r>
      <w:proofErr w:type="spellEnd"/>
      <w:r w:rsidRPr="002B197E">
        <w:rPr>
          <w:rFonts w:ascii="Times New Roman" w:eastAsia="Times New Roman" w:hAnsi="Times New Roman" w:cs="Times New Roman"/>
          <w:sz w:val="24"/>
          <w:szCs w:val="24"/>
          <w:lang w:eastAsia="es-EC"/>
        </w:rPr>
        <w:t xml:space="preserve"> balance, J-</w:t>
      </w:r>
      <w:proofErr w:type="gramStart"/>
      <w:r w:rsidRPr="002B197E">
        <w:rPr>
          <w:rFonts w:ascii="Times New Roman" w:eastAsia="Times New Roman" w:hAnsi="Times New Roman" w:cs="Times New Roman"/>
          <w:sz w:val="24"/>
          <w:szCs w:val="24"/>
          <w:lang w:eastAsia="es-EC"/>
        </w:rPr>
        <w:t>curve</w:t>
      </w:r>
      <w:proofErr w:type="gramEnd"/>
      <w:r w:rsidRPr="002B197E">
        <w:rPr>
          <w:rFonts w:ascii="Times New Roman" w:eastAsia="Times New Roman" w:hAnsi="Times New Roman" w:cs="Times New Roman"/>
          <w:sz w:val="24"/>
          <w:szCs w:val="24"/>
          <w:lang w:eastAsia="es-EC"/>
        </w:rPr>
        <w:t xml:space="preserve"> </w:t>
      </w:r>
      <w:proofErr w:type="spellStart"/>
      <w:r w:rsidRPr="002B197E">
        <w:rPr>
          <w:rFonts w:ascii="Times New Roman" w:eastAsia="Times New Roman" w:hAnsi="Times New Roman" w:cs="Times New Roman"/>
          <w:sz w:val="24"/>
          <w:szCs w:val="24"/>
          <w:lang w:eastAsia="es-EC"/>
        </w:rPr>
        <w:t>hypothesis</w:t>
      </w:r>
      <w:proofErr w:type="spellEnd"/>
      <w:r w:rsidRPr="002B197E">
        <w:rPr>
          <w:rFonts w:ascii="Times New Roman" w:eastAsia="Times New Roman" w:hAnsi="Times New Roman" w:cs="Times New Roman"/>
          <w:sz w:val="24"/>
          <w:szCs w:val="24"/>
          <w:lang w:eastAsia="es-EC"/>
        </w:rPr>
        <w:t xml:space="preserve"> y </w:t>
      </w:r>
      <w:proofErr w:type="spellStart"/>
      <w:r w:rsidRPr="002B197E">
        <w:rPr>
          <w:rFonts w:ascii="Times New Roman" w:eastAsia="Times New Roman" w:hAnsi="Times New Roman" w:cs="Times New Roman"/>
          <w:sz w:val="24"/>
          <w:szCs w:val="24"/>
          <w:lang w:eastAsia="es-EC"/>
        </w:rPr>
        <w:t>Bayesian</w:t>
      </w:r>
      <w:proofErr w:type="spellEnd"/>
      <w:r w:rsidRPr="002B197E">
        <w:rPr>
          <w:rFonts w:ascii="Times New Roman" w:eastAsia="Times New Roman" w:hAnsi="Times New Roman" w:cs="Times New Roman"/>
          <w:sz w:val="24"/>
          <w:szCs w:val="24"/>
          <w:lang w:eastAsia="es-EC"/>
        </w:rPr>
        <w:t xml:space="preserve"> Vector </w:t>
      </w:r>
      <w:proofErr w:type="spellStart"/>
      <w:r w:rsidRPr="002B197E">
        <w:rPr>
          <w:rFonts w:ascii="Times New Roman" w:eastAsia="Times New Roman" w:hAnsi="Times New Roman" w:cs="Times New Roman"/>
          <w:sz w:val="24"/>
          <w:szCs w:val="24"/>
          <w:lang w:eastAsia="es-EC"/>
        </w:rPr>
        <w:t>Autoregressive</w:t>
      </w:r>
      <w:proofErr w:type="spellEnd"/>
      <w:r w:rsidRPr="002B197E">
        <w:rPr>
          <w:rFonts w:ascii="Times New Roman" w:eastAsia="Times New Roman" w:hAnsi="Times New Roman" w:cs="Times New Roman"/>
          <w:sz w:val="24"/>
          <w:szCs w:val="24"/>
          <w:lang w:eastAsia="es-EC"/>
        </w:rPr>
        <w:t xml:space="preserve"> (BVAR) </w:t>
      </w:r>
      <w:proofErr w:type="spellStart"/>
      <w:r w:rsidRPr="002B197E">
        <w:rPr>
          <w:rFonts w:ascii="Times New Roman" w:eastAsia="Times New Roman" w:hAnsi="Times New Roman" w:cs="Times New Roman"/>
          <w:sz w:val="24"/>
          <w:szCs w:val="24"/>
          <w:lang w:eastAsia="es-EC"/>
        </w:rPr>
        <w:t>model</w:t>
      </w:r>
      <w:proofErr w:type="spellEnd"/>
      <w:r w:rsidRPr="002B197E">
        <w:rPr>
          <w:rFonts w:ascii="Times New Roman" w:eastAsia="Times New Roman" w:hAnsi="Times New Roman" w:cs="Times New Roman"/>
          <w:sz w:val="24"/>
          <w:szCs w:val="24"/>
          <w:lang w:eastAsia="es-EC"/>
        </w:rPr>
        <w:t>.</w:t>
      </w:r>
    </w:p>
    <w:p w14:paraId="382A981B" w14:textId="3EC4D664" w:rsidR="002B197E" w:rsidRPr="002B197E" w:rsidRDefault="002B197E" w:rsidP="002B197E">
      <w:pPr>
        <w:spacing w:before="100" w:beforeAutospacing="1" w:after="100" w:afterAutospacing="1" w:line="240" w:lineRule="auto"/>
        <w:jc w:val="both"/>
        <w:rPr>
          <w:rFonts w:ascii="Times New Roman" w:eastAsia="Times New Roman" w:hAnsi="Times New Roman" w:cs="Times New Roman"/>
          <w:sz w:val="24"/>
          <w:szCs w:val="24"/>
          <w:lang w:eastAsia="es-EC"/>
        </w:rPr>
      </w:pPr>
      <w:r w:rsidRPr="002B197E">
        <w:rPr>
          <w:rFonts w:ascii="Times New Roman" w:eastAsia="Times New Roman" w:hAnsi="Times New Roman" w:cs="Times New Roman"/>
          <w:sz w:val="24"/>
          <w:szCs w:val="24"/>
          <w:lang w:eastAsia="es-EC"/>
        </w:rPr>
        <w:t>Las diferencias identificadas entre mi documento original y la versión corregida fueron las siguientes: (i) se sustituyeron algunas expresiones por una redacción más formal y académica, por ejemplo, «surge la condición Marshall-Lerner» se reformuló como «la condición Marshall-Lerner surge como una proposición teórica fundamental»; (</w:t>
      </w:r>
      <w:proofErr w:type="spellStart"/>
      <w:r w:rsidRPr="002B197E">
        <w:rPr>
          <w:rFonts w:ascii="Times New Roman" w:eastAsia="Times New Roman" w:hAnsi="Times New Roman" w:cs="Times New Roman"/>
          <w:sz w:val="24"/>
          <w:szCs w:val="24"/>
          <w:lang w:eastAsia="es-EC"/>
        </w:rPr>
        <w:t>ii</w:t>
      </w:r>
      <w:proofErr w:type="spellEnd"/>
      <w:r w:rsidRPr="002B197E">
        <w:rPr>
          <w:rFonts w:ascii="Times New Roman" w:eastAsia="Times New Roman" w:hAnsi="Times New Roman" w:cs="Times New Roman"/>
          <w:sz w:val="24"/>
          <w:szCs w:val="24"/>
          <w:lang w:eastAsia="es-EC"/>
        </w:rPr>
        <w:t>) se estandarizó la terminología económica y econométrica empleando expresiones más precisas, tales como «balanza comercial», «depreciación real», «relación comercial bilateral» y «modelos Vector Autorregresivos Bayesianos (BVAR)»; (</w:t>
      </w:r>
      <w:proofErr w:type="spellStart"/>
      <w:r w:rsidRPr="002B197E">
        <w:rPr>
          <w:rFonts w:ascii="Times New Roman" w:eastAsia="Times New Roman" w:hAnsi="Times New Roman" w:cs="Times New Roman"/>
          <w:sz w:val="24"/>
          <w:szCs w:val="24"/>
          <w:lang w:eastAsia="es-EC"/>
        </w:rPr>
        <w:t>iii</w:t>
      </w:r>
      <w:proofErr w:type="spellEnd"/>
      <w:r w:rsidRPr="002B197E">
        <w:rPr>
          <w:rFonts w:ascii="Times New Roman" w:eastAsia="Times New Roman" w:hAnsi="Times New Roman" w:cs="Times New Roman"/>
          <w:sz w:val="24"/>
          <w:szCs w:val="24"/>
          <w:lang w:eastAsia="es-EC"/>
        </w:rPr>
        <w:t>) se mejoró la coherencia y fluidez del texto mediante el uso de conectores más académicos, como «por consiguiente», «particularmente» y «en última instancia»; (</w:t>
      </w:r>
      <w:proofErr w:type="spellStart"/>
      <w:r w:rsidRPr="002B197E">
        <w:rPr>
          <w:rFonts w:ascii="Times New Roman" w:eastAsia="Times New Roman" w:hAnsi="Times New Roman" w:cs="Times New Roman"/>
          <w:sz w:val="24"/>
          <w:szCs w:val="24"/>
          <w:lang w:eastAsia="es-EC"/>
        </w:rPr>
        <w:t>iv</w:t>
      </w:r>
      <w:proofErr w:type="spellEnd"/>
      <w:r w:rsidRPr="002B197E">
        <w:rPr>
          <w:rFonts w:ascii="Times New Roman" w:eastAsia="Times New Roman" w:hAnsi="Times New Roman" w:cs="Times New Roman"/>
          <w:sz w:val="24"/>
          <w:szCs w:val="24"/>
          <w:lang w:eastAsia="es-EC"/>
        </w:rPr>
        <w:t>) se introdujeron pequeñas modificaciones de estilo para incrementar la claridad y precisión conceptual, sin alterar el significado original de las ideas ni las conclusiones de la revisión de literatura; y (v) se fortaleció el registro científico del documento, adoptando una redacción más cercana a la utilizada en artículos académicos y revistas científicas indexadas.</w:t>
      </w:r>
    </w:p>
    <w:p w14:paraId="61670AB4" w14:textId="77777777" w:rsidR="00325ED8" w:rsidRPr="00DF7662" w:rsidRDefault="00325ED8"/>
    <w:sectPr w:rsidR="00325ED8" w:rsidRPr="00DF76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662"/>
    <w:rsid w:val="00075CBD"/>
    <w:rsid w:val="002B197E"/>
    <w:rsid w:val="00325ED8"/>
    <w:rsid w:val="005F1AB2"/>
    <w:rsid w:val="00634DB8"/>
    <w:rsid w:val="00DF766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6C9C6"/>
  <w15:chartTrackingRefBased/>
  <w15:docId w15:val="{E6DDD437-09FC-4A58-AC12-89978A149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76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F76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766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DF766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DF7662"/>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DF76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965254">
      <w:bodyDiv w:val="1"/>
      <w:marLeft w:val="0"/>
      <w:marRight w:val="0"/>
      <w:marTop w:val="0"/>
      <w:marBottom w:val="0"/>
      <w:divBdr>
        <w:top w:val="none" w:sz="0" w:space="0" w:color="auto"/>
        <w:left w:val="none" w:sz="0" w:space="0" w:color="auto"/>
        <w:bottom w:val="none" w:sz="0" w:space="0" w:color="auto"/>
        <w:right w:val="none" w:sz="0" w:space="0" w:color="auto"/>
      </w:divBdr>
    </w:div>
    <w:div w:id="885289316">
      <w:bodyDiv w:val="1"/>
      <w:marLeft w:val="0"/>
      <w:marRight w:val="0"/>
      <w:marTop w:val="0"/>
      <w:marBottom w:val="0"/>
      <w:divBdr>
        <w:top w:val="none" w:sz="0" w:space="0" w:color="auto"/>
        <w:left w:val="none" w:sz="0" w:space="0" w:color="auto"/>
        <w:bottom w:val="none" w:sz="0" w:space="0" w:color="auto"/>
        <w:right w:val="none" w:sz="0" w:space="0" w:color="auto"/>
      </w:divBdr>
    </w:div>
    <w:div w:id="1590459225">
      <w:bodyDiv w:val="1"/>
      <w:marLeft w:val="0"/>
      <w:marRight w:val="0"/>
      <w:marTop w:val="0"/>
      <w:marBottom w:val="0"/>
      <w:divBdr>
        <w:top w:val="none" w:sz="0" w:space="0" w:color="auto"/>
        <w:left w:val="none" w:sz="0" w:space="0" w:color="auto"/>
        <w:bottom w:val="none" w:sz="0" w:space="0" w:color="auto"/>
        <w:right w:val="none" w:sz="0" w:space="0" w:color="auto"/>
      </w:divBdr>
    </w:div>
    <w:div w:id="184054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3040</Words>
  <Characters>16726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Astudillo Soliz</dc:creator>
  <cp:keywords/>
  <dc:description/>
  <cp:lastModifiedBy>Mateo Astudillo Soliz</cp:lastModifiedBy>
  <cp:revision>2</cp:revision>
  <dcterms:created xsi:type="dcterms:W3CDTF">2026-06-22T01:12:00Z</dcterms:created>
  <dcterms:modified xsi:type="dcterms:W3CDTF">2026-06-22T01:45:00Z</dcterms:modified>
</cp:coreProperties>
</file>