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943225" cy="1492250"/>
            <wp:effectExtent l="0" t="0" r="0" b="0"/>
            <wp:docPr id="1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35" w:type="dxa"/>
        <w:jc w:val="left"/>
        <w:tblInd w:w="0" w:type="dxa"/>
        <w:tblLayout w:type="fixed"/>
        <w:tblCellMar>
          <w:top w:w="216" w:type="dxa"/>
          <w:left w:w="115" w:type="dxa"/>
          <w:bottom w:w="216" w:type="dxa"/>
          <w:right w:w="115" w:type="dxa"/>
        </w:tblCellMar>
        <w:tblLook w:val="04a0" w:noHBand="0" w:noVBand="1" w:firstColumn="1" w:lastRow="0" w:lastColumn="0" w:firstRow="1"/>
      </w:tblPr>
      <w:tblGrid>
        <w:gridCol w:w="8435"/>
      </w:tblGrid>
      <w:tr>
        <w:trPr>
          <w:trHeight w:val="13" w:hRule="atLeast"/>
        </w:trPr>
        <w:tc>
          <w:tcPr>
            <w:tcW w:w="8435" w:type="dxa"/>
            <w:tcBorders>
              <w:left w:val="single" w:sz="18" w:space="0" w:color="4F81BD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Universidad Tecnológica Equinoccial                                                   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Escuela de Tecnologías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Carrera de Desarrollo de Software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Base de datos I</w:t>
            </w:r>
          </w:p>
        </w:tc>
      </w:tr>
      <w:tr>
        <w:trPr>
          <w:trHeight w:val="301" w:hRule="exact"/>
        </w:trPr>
        <w:tc>
          <w:tcPr>
            <w:tcW w:w="8435" w:type="dxa"/>
            <w:tcBorders>
              <w:left w:val="single" w:sz="18" w:space="0" w:color="4F81BD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711" w:hRule="atLeast"/>
        </w:trPr>
        <w:tc>
          <w:tcPr>
            <w:tcW w:w="8435" w:type="dxa"/>
            <w:tcBorders>
              <w:left w:val="single" w:sz="1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Tema:</w:t>
            </w:r>
            <w:r>
              <w:rPr>
                <w:rFonts w:cs="Times New Roman" w:ascii="Times New Roman" w:hAnsi="Times New Roman"/>
              </w:rPr>
              <w:t xml:space="preserve"> Tipos de Datos </w:t>
            </w:r>
            <w:r>
              <w:rPr>
                <w:rFonts w:cs="Times New Roman" w:ascii="Times New Roman" w:hAnsi="Times New Roman"/>
              </w:rPr>
              <w:t xml:space="preserve">(float, int, string, DML) </w:t>
            </w:r>
            <w:r>
              <w:rPr>
                <w:rFonts w:cs="Times New Roman" w:ascii="Times New Roman" w:hAnsi="Times New Roman"/>
              </w:rPr>
              <w:t xml:space="preserve">en MySQL y PostgreSQL </w:t>
            </w:r>
            <w:r>
              <w:rPr>
                <w:rFonts w:cs="Times New Roman" w:ascii="Times New Roman" w:hAnsi="Times New Roman"/>
              </w:rPr>
              <w:t xml:space="preserve">en una </w:t>
            </w:r>
            <w:r>
              <w:rPr>
                <w:rFonts w:cs="Times New Roman" w:ascii="Times New Roman" w:hAnsi="Times New Roman"/>
              </w:rPr>
              <w:t>Tabla Comparativa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Trabajo N-0</w:t>
      </w:r>
      <w:r>
        <w:rPr>
          <w:rFonts w:cs="Times New Roman" w:ascii="Times New Roman" w:hAnsi="Times New Roman"/>
          <w:b/>
          <w:bCs/>
        </w:rPr>
        <w:t>05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Paralelo: “ A  ”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Fecha: </w:t>
      </w:r>
      <w:r>
        <w:rPr>
          <w:rFonts w:cs="Times New Roman" w:ascii="Times New Roman" w:hAnsi="Times New Roman"/>
          <w:b/>
          <w:bCs/>
        </w:rPr>
        <w:t>22 / 10 / 2026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Presentado por: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Mateo Araque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Docente:</w:t>
      </w:r>
      <w:r>
        <w:rPr>
          <w:rFonts w:cs="Times New Roman" w:ascii="Times New Roman" w:hAnsi="Times New Roman"/>
        </w:rPr>
        <w:t xml:space="preserve"> Ing. Cristian Rivadeneira Cede</w:t>
      </w:r>
      <w:r>
        <w:rPr>
          <w:rFonts w:cs="Times New Roman" w:ascii="Times New Roman" w:hAnsi="Times New Roman"/>
          <w:lang w:val="es-EC"/>
        </w:rPr>
        <w:t>ño</w:t>
      </w:r>
      <w:r>
        <w:rPr>
          <w:rFonts w:cs="Times New Roman" w:ascii="Times New Roman" w:hAnsi="Times New Roman"/>
        </w:rPr>
        <w:t> MSc.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Introducción</w:t>
      </w:r>
    </w:p>
    <w:p>
      <w:pPr>
        <w:pStyle w:val="ListParagraph"/>
        <w:numPr>
          <w:ilvl w:val="0"/>
          <w:numId w:val="0"/>
        </w:numPr>
        <w:spacing w:before="0" w:after="160"/>
        <w:ind w:hanging="0" w:left="1080"/>
        <w:contextualSpacing/>
        <w:rPr/>
      </w:pPr>
      <w:r>
        <w:rPr>
          <w:rFonts w:cs="Times New Roman" w:ascii="Times New Roman" w:hAnsi="Times New Roman"/>
          <w:b w:val="false"/>
          <w:bCs w:val="false"/>
        </w:rPr>
        <w:t>En la gestión de bases de datos relacionales, la definición precisa de los tipos de datos es un aspecto crítico para garantizar la optimización del almacenamiento, la precisión de los cálculos y la integridad de la información. Motores populares como MySQL y PostgreSQL ofrecen una amplia variedad de tipos de datos primitivos y complejos para manejar valores numéricos enteros (</w:t>
      </w:r>
      <w:r>
        <w:rPr>
          <w:rStyle w:val="SourceText"/>
          <w:b w:val="false"/>
          <w:bCs w:val="false"/>
        </w:rPr>
        <w:t>int</w:t>
      </w:r>
      <w:r>
        <w:rPr>
          <w:rFonts w:cs="Times New Roman" w:ascii="Times New Roman" w:hAnsi="Times New Roman"/>
          <w:b w:val="false"/>
          <w:bCs w:val="false"/>
        </w:rPr>
        <w:t>), flotante (</w:t>
      </w:r>
      <w:r>
        <w:rPr>
          <w:rStyle w:val="SourceText"/>
          <w:b w:val="false"/>
          <w:bCs w:val="false"/>
        </w:rPr>
        <w:t>float</w:t>
      </w:r>
      <w:r>
        <w:rPr>
          <w:rFonts w:cs="Times New Roman" w:ascii="Times New Roman" w:hAnsi="Times New Roman"/>
          <w:b w:val="false"/>
          <w:bCs w:val="false"/>
        </w:rPr>
        <w:t>), cadenas de caracteres (</w:t>
      </w:r>
      <w:r>
        <w:rPr>
          <w:rStyle w:val="SourceText"/>
          <w:b w:val="false"/>
          <w:bCs w:val="false"/>
        </w:rPr>
        <w:t>string</w:t>
      </w:r>
      <w:r>
        <w:rPr>
          <w:rFonts w:cs="Times New Roman" w:ascii="Times New Roman" w:hAnsi="Times New Roman"/>
          <w:b w:val="false"/>
          <w:bCs w:val="false"/>
        </w:rPr>
        <w:t>), así como las sentencias del Lenguaje de Manipulación de Datos (</w:t>
      </w:r>
      <w:r>
        <w:rPr>
          <w:rStyle w:val="SourceText"/>
          <w:b w:val="false"/>
          <w:bCs w:val="false"/>
        </w:rPr>
        <w:t>DML</w:t>
      </w:r>
      <w:r>
        <w:rPr>
          <w:rFonts w:cs="Times New Roman" w:ascii="Times New Roman" w:hAnsi="Times New Roman"/>
          <w:b w:val="false"/>
          <w:bCs w:val="false"/>
        </w:rPr>
        <w:t>) para interactuar con ellos. Analizar las similitudes y diferencias entre ambos sistemas permite a los desarrolladores elegir la opción más adecuada según los requerimientos de rendimiento y escalabilidad de cada aplicación.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Objetivo General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Times New Roman" w:ascii="Times New Roman" w:hAnsi="Times New Roman"/>
          <w:b w:val="false"/>
          <w:bCs w:val="false"/>
        </w:rPr>
        <w:t xml:space="preserve">Examinar los tipos de datos fundamentales </w:t>
      </w:r>
      <w:r>
        <w:rPr>
          <w:rFonts w:cs="Times New Roman" w:ascii="Times New Roman" w:hAnsi="Times New Roman"/>
          <w:b w:val="false"/>
          <w:bCs w:val="false"/>
        </w:rPr>
        <w:t>(int, float, string)</w:t>
      </w:r>
      <w:r>
        <w:rPr>
          <w:rFonts w:cs="Times New Roman" w:ascii="Times New Roman" w:hAnsi="Times New Roman"/>
          <w:b w:val="false"/>
          <w:bCs w:val="false"/>
        </w:rPr>
        <w:t xml:space="preserve"> y los comandos de manipulación </w:t>
      </w:r>
      <w:r>
        <w:rPr>
          <w:rFonts w:cs="Times New Roman" w:ascii="Times New Roman" w:hAnsi="Times New Roman"/>
          <w:b w:val="false"/>
          <w:bCs w:val="false"/>
        </w:rPr>
        <w:t>(DML</w:t>
      </w:r>
      <w:r>
        <w:rPr>
          <w:rFonts w:cs="Times New Roman" w:ascii="Times New Roman" w:hAnsi="Times New Roman"/>
          <w:b w:val="false"/>
          <w:bCs w:val="false"/>
        </w:rPr>
        <w:t>) soportados por MySQL y PostgreSQL mediante una tabla comparativa.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Objetivos Específicos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1. </w:t>
      </w:r>
      <w:r>
        <w:rPr>
          <w:rFonts w:cs="Times New Roman" w:ascii="Times New Roman" w:hAnsi="Times New Roman"/>
          <w:b w:val="false"/>
          <w:bCs w:val="false"/>
        </w:rPr>
        <w:t>Describir el comportamiento y almacenamiento de los tipos numéricos enteros y flotante</w:t>
      </w:r>
      <w:r>
        <w:rPr>
          <w:rFonts w:cs="Times New Roman" w:ascii="Times New Roman" w:hAnsi="Times New Roman"/>
          <w:b w:val="false"/>
          <w:bCs w:val="false"/>
        </w:rPr>
        <w:t xml:space="preserve">s </w:t>
      </w:r>
      <w:r>
        <w:rPr>
          <w:rFonts w:cs="Times New Roman" w:ascii="Times New Roman" w:hAnsi="Times New Roman"/>
          <w:b w:val="false"/>
          <w:bCs w:val="false"/>
        </w:rPr>
        <w:t>en MySQL y PostgreSQL.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>
          <w:rFonts w:cs="Times New Roman" w:ascii="Times New Roman" w:hAnsi="Times New Roman"/>
          <w:b w:val="false"/>
          <w:bCs w:val="false"/>
        </w:rPr>
        <w:t xml:space="preserve">2. </w:t>
      </w:r>
      <w:r>
        <w:rPr>
          <w:rFonts w:cs="Times New Roman" w:ascii="Times New Roman" w:hAnsi="Times New Roman"/>
        </w:rPr>
        <w:t>Analizar el manejo de cadenas de texto y los comandos del Lenguaje de Manipulación de Datos (DML) en ambos motores gestores.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>
          <w:rFonts w:cs="Times New Roman" w:ascii="Times New Roman" w:hAnsi="Times New Roman"/>
          <w:b w:val="false"/>
          <w:bCs w:val="false"/>
        </w:rPr>
        <w:t>3. Contrastar las características técnicas de MySQL y PostgreSQL en una tabla comparativa.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Desarroll</w:t>
      </w:r>
      <w:r>
        <w:rPr>
          <w:rFonts w:cs="Times New Roman" w:ascii="Times New Roman" w:hAnsi="Times New Roman"/>
          <w:b/>
          <w:bCs/>
        </w:rPr>
        <w:t>o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TABLA COMPARATIVA : MySQL Y PostgreSQL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946"/>
        <w:gridCol w:w="2946"/>
        <w:gridCol w:w="2946"/>
      </w:tblGrid>
      <w:tr>
        <w:trPr/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CATEGORIA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MySQL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PostgreSQL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Enfoque Principal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Velocidad, facilidad de uso y despliegue rapido en apps web.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Extensibilidad, cumplimiento estricto de estándares SQL y procesamiento analítico complejo.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ENTEROS (int)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SourceText"/>
              </w:rPr>
              <w:t>TINYINT</w:t>
            </w:r>
            <w:r>
              <w:rPr/>
              <w:t xml:space="preserve">, </w:t>
            </w:r>
            <w:r>
              <w:rPr>
                <w:rStyle w:val="SourceText"/>
              </w:rPr>
              <w:t>SMALLINT</w:t>
            </w:r>
            <w:r>
              <w:rPr/>
              <w:t xml:space="preserve">, </w:t>
            </w:r>
            <w:r>
              <w:rPr>
                <w:rStyle w:val="SourceText"/>
              </w:rPr>
              <w:t>INT</w:t>
            </w:r>
            <w:r>
              <w:rPr/>
              <w:t xml:space="preserve">, </w:t>
            </w:r>
            <w:r>
              <w:rPr>
                <w:rStyle w:val="SourceText"/>
              </w:rPr>
              <w:t>BIGINT</w:t>
            </w:r>
            <w:r>
              <w:rPr/>
              <w:t xml:space="preserve">. Autoincremento vía </w:t>
            </w:r>
            <w:r>
              <w:rPr>
                <w:rStyle w:val="SourceText"/>
              </w:rPr>
              <w:t>AUTO_INCREMENT</w:t>
            </w:r>
            <w:r>
              <w:rPr/>
              <w:t>.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SourceText"/>
              </w:rPr>
              <w:t>SMALLINT</w:t>
            </w:r>
            <w:r>
              <w:rPr/>
              <w:t xml:space="preserve">, </w:t>
            </w:r>
            <w:r>
              <w:rPr>
                <w:rStyle w:val="SourceText"/>
              </w:rPr>
              <w:t>INTEGER</w:t>
            </w:r>
            <w:r>
              <w:rPr/>
              <w:t xml:space="preserve">, </w:t>
            </w:r>
            <w:r>
              <w:rPr>
                <w:rStyle w:val="SourceText"/>
              </w:rPr>
              <w:t>BIGINT</w:t>
            </w:r>
            <w:r>
              <w:rPr/>
              <w:t xml:space="preserve">. Autoincremento moderno vía </w:t>
            </w:r>
            <w:r>
              <w:rPr>
                <w:rStyle w:val="SourceText"/>
              </w:rPr>
              <w:t>SERIAL</w:t>
            </w:r>
            <w:r>
              <w:rPr/>
              <w:t xml:space="preserve">, </w:t>
            </w:r>
            <w:r>
              <w:rPr>
                <w:rStyle w:val="SourceText"/>
              </w:rPr>
              <w:t>BIGSERIAL</w:t>
            </w:r>
            <w:r>
              <w:rPr/>
              <w:t xml:space="preserve"> o columnas </w:t>
            </w:r>
            <w:r>
              <w:rPr>
                <w:rStyle w:val="SourceText"/>
              </w:rPr>
              <w:t>IDENTITY</w:t>
            </w:r>
            <w:r>
              <w:rPr/>
              <w:t>.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FLOTANTES(float)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SourceText"/>
              </w:rPr>
              <w:t>FLOAT</w:t>
            </w:r>
            <w:r>
              <w:rPr/>
              <w:t xml:space="preserve">, </w:t>
            </w:r>
            <w:r>
              <w:rPr>
                <w:rStyle w:val="SourceText"/>
              </w:rPr>
              <w:t>DOUBLE</w:t>
            </w:r>
            <w:r>
              <w:rPr/>
              <w:t xml:space="preserve"> y </w:t>
            </w:r>
            <w:r>
              <w:rPr>
                <w:rStyle w:val="SourceText"/>
              </w:rPr>
              <w:t>DECIMAL</w:t>
            </w:r>
            <w:r>
              <w:rPr/>
              <w:t xml:space="preserve"> (precisión fija).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SourceText"/>
              </w:rPr>
              <w:t>REAL</w:t>
            </w:r>
            <w:r>
              <w:rPr/>
              <w:t xml:space="preserve">, </w:t>
            </w:r>
            <w:r>
              <w:rPr>
                <w:rStyle w:val="SourceText"/>
              </w:rPr>
              <w:t>DOUBLE PRECISION</w:t>
            </w:r>
            <w:r>
              <w:rPr/>
              <w:t xml:space="preserve"> y </w:t>
            </w:r>
            <w:r>
              <w:rPr>
                <w:rStyle w:val="SourceText"/>
              </w:rPr>
              <w:t>NUMERIC</w:t>
            </w:r>
            <w:r>
              <w:rPr/>
              <w:t xml:space="preserve"> / </w:t>
            </w:r>
            <w:r>
              <w:rPr>
                <w:rStyle w:val="SourceText"/>
              </w:rPr>
              <w:t>DECIMAL</w:t>
            </w:r>
            <w:r>
              <w:rPr/>
              <w:t>.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CADENAS(string)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SourceText"/>
              </w:rPr>
              <w:t>CHAR</w:t>
            </w:r>
            <w:r>
              <w:rPr/>
              <w:t xml:space="preserve">, </w:t>
            </w:r>
            <w:r>
              <w:rPr>
                <w:rStyle w:val="SourceText"/>
              </w:rPr>
              <w:t>VARCHAR</w:t>
            </w:r>
            <w:r>
              <w:rPr/>
              <w:t xml:space="preserve">, </w:t>
            </w:r>
            <w:r>
              <w:rPr>
                <w:rStyle w:val="SourceText"/>
              </w:rPr>
              <w:t>TEXT</w:t>
            </w:r>
            <w:r>
              <w:rPr/>
              <w:t xml:space="preserve">, </w:t>
            </w:r>
            <w:r>
              <w:rPr>
                <w:rStyle w:val="SourceText"/>
              </w:rPr>
              <w:t>MEDIUMTEXT</w:t>
            </w:r>
            <w:r>
              <w:rPr/>
              <w:t xml:space="preserve">, </w:t>
            </w:r>
            <w:r>
              <w:rPr>
                <w:rStyle w:val="SourceText"/>
              </w:rPr>
              <w:t>LONGTEXT</w:t>
            </w:r>
            <w:r>
              <w:rPr/>
              <w:t xml:space="preserve">, </w:t>
            </w:r>
            <w:r>
              <w:rPr>
                <w:rStyle w:val="SourceText"/>
              </w:rPr>
              <w:t>ENUM</w:t>
            </w:r>
            <w:r>
              <w:rPr/>
              <w:t>.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SourceText"/>
              </w:rPr>
              <w:t>CHAR(n)</w:t>
            </w:r>
            <w:r>
              <w:rPr/>
              <w:t xml:space="preserve">, </w:t>
            </w:r>
            <w:r>
              <w:rPr>
                <w:rStyle w:val="SourceText"/>
              </w:rPr>
              <w:t>VARCHAR(n)</w:t>
            </w:r>
            <w:r>
              <w:rPr/>
              <w:t xml:space="preserve">, </w:t>
            </w:r>
            <w:r>
              <w:rPr>
                <w:rStyle w:val="SourceText"/>
              </w:rPr>
              <w:t>TEXT</w:t>
            </w:r>
            <w:r>
              <w:rPr/>
              <w:t xml:space="preserve"> (sin límite estricto de tamaño predefinido).</w:t>
            </w:r>
          </w:p>
        </w:tc>
      </w:tr>
      <w:tr>
        <w:trPr>
          <w:trHeight w:val="2196" w:hRule="atLeast"/>
        </w:trPr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COMANDOS DML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 xml:space="preserve">Soporte estándar para </w:t>
            </w:r>
            <w:r>
              <w:rPr>
                <w:rStyle w:val="SourceText"/>
              </w:rPr>
              <w:t>SELECT</w:t>
            </w:r>
            <w:r>
              <w:rPr/>
              <w:t xml:space="preserve">, </w:t>
            </w:r>
            <w:r>
              <w:rPr>
                <w:rStyle w:val="SourceText"/>
              </w:rPr>
              <w:t>INSERT</w:t>
            </w:r>
            <w:r>
              <w:rPr/>
              <w:t xml:space="preserve">, </w:t>
            </w:r>
            <w:r>
              <w:rPr>
                <w:rStyle w:val="SourceText"/>
              </w:rPr>
              <w:t>UPDATE</w:t>
            </w:r>
            <w:r>
              <w:rPr/>
              <w:t xml:space="preserve">, </w:t>
            </w:r>
            <w:r>
              <w:rPr>
                <w:rStyle w:val="SourceText"/>
              </w:rPr>
              <w:t>DELETE</w:t>
            </w:r>
            <w:r>
              <w:rPr/>
              <w:t>.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 xml:space="preserve">Soporte estándar para </w:t>
            </w:r>
            <w:r>
              <w:rPr>
                <w:rStyle w:val="SourceText"/>
              </w:rPr>
              <w:t>SELECT</w:t>
            </w:r>
            <w:r>
              <w:rPr/>
              <w:t xml:space="preserve">, </w:t>
            </w:r>
            <w:r>
              <w:rPr>
                <w:rStyle w:val="SourceText"/>
              </w:rPr>
              <w:t>INSERT</w:t>
            </w:r>
            <w:r>
              <w:rPr/>
              <w:t xml:space="preserve">, </w:t>
            </w:r>
            <w:r>
              <w:rPr>
                <w:rStyle w:val="SourceText"/>
              </w:rPr>
              <w:t>UPDATE</w:t>
            </w:r>
            <w:r>
              <w:rPr/>
              <w:t xml:space="preserve">, </w:t>
            </w:r>
            <w:r>
              <w:rPr>
                <w:rStyle w:val="SourceText"/>
              </w:rPr>
              <w:t>DELETE</w:t>
            </w:r>
            <w:r>
              <w:rPr/>
              <w:t>, además de cláusulas avanzadas (</w:t>
            </w:r>
            <w:r>
              <w:rPr>
                <w:rStyle w:val="SourceText"/>
              </w:rPr>
              <w:t>RETURNING</w:t>
            </w:r>
            <w:r>
              <w:rPr/>
              <w:t>).</w:t>
            </w:r>
          </w:p>
        </w:tc>
      </w:tr>
    </w:tbl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ab/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Conclusiones</w:t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>
          <w:rFonts w:cs="Times New Roman" w:ascii="Times New Roman" w:hAnsi="Times New Roman"/>
          <w:b w:val="false"/>
          <w:bCs w:val="false"/>
        </w:rPr>
        <w:t xml:space="preserve">1. </w:t>
      </w:r>
      <w:r>
        <w:rPr>
          <w:rFonts w:cs="Times New Roman" w:ascii="Times New Roman" w:hAnsi="Times New Roman"/>
          <w:b w:val="false"/>
          <w:bCs w:val="false"/>
        </w:rPr>
        <w:t xml:space="preserve">MySQL y PostgreSQL comparten los conceptos fundamentales de los tipos de datos numéricos </w:t>
      </w:r>
      <w:r>
        <w:rPr>
          <w:rFonts w:cs="Times New Roman" w:ascii="Times New Roman" w:hAnsi="Times New Roman"/>
          <w:b w:val="false"/>
          <w:bCs w:val="false"/>
        </w:rPr>
        <w:t>(int, flaot)</w:t>
      </w:r>
      <w:r>
        <w:rPr>
          <w:rFonts w:cs="Times New Roman" w:ascii="Times New Roman" w:hAnsi="Times New Roman"/>
          <w:b w:val="false"/>
          <w:bCs w:val="false"/>
        </w:rPr>
        <w:t xml:space="preserve">, textuales </w:t>
      </w:r>
      <w:r>
        <w:rPr>
          <w:rFonts w:cs="Times New Roman" w:ascii="Times New Roman" w:hAnsi="Times New Roman"/>
          <w:b w:val="false"/>
          <w:bCs w:val="false"/>
        </w:rPr>
        <w:t>(string)</w:t>
      </w:r>
      <w:r>
        <w:rPr>
          <w:rFonts w:cs="Times New Roman" w:ascii="Times New Roman" w:hAnsi="Times New Roman"/>
          <w:b w:val="false"/>
          <w:bCs w:val="false"/>
        </w:rPr>
        <w:t xml:space="preserve"> y las operaciones de manipulación </w:t>
      </w:r>
      <w:r>
        <w:rPr>
          <w:rFonts w:cs="Times New Roman" w:ascii="Times New Roman" w:hAnsi="Times New Roman"/>
          <w:b w:val="false"/>
          <w:bCs w:val="false"/>
        </w:rPr>
        <w:t>(DML)</w:t>
      </w:r>
      <w:r>
        <w:rPr>
          <w:rFonts w:cs="Times New Roman" w:ascii="Times New Roman" w:hAnsi="Times New Roman"/>
          <w:b w:val="false"/>
          <w:bCs w:val="false"/>
        </w:rPr>
        <w:t>, aunque presentan particularidades de sintaxis e implementación interna.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 w:val="false"/>
          <w:bCs w:val="false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2. </w:t>
      </w:r>
      <w:r>
        <w:rPr>
          <w:rFonts w:cs="Times New Roman" w:ascii="Times New Roman" w:hAnsi="Times New Roman"/>
          <w:b w:val="false"/>
          <w:bCs w:val="false"/>
        </w:rPr>
        <w:t>El conocimiento de las diferencias en los tipos de datos permite a los desarrolladores estructurar bases de datos eficientes, evitando desbordamientos de memoria y asegurando la integridad de la información almacenada.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Recomendaciones</w:t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>
          <w:rFonts w:cs="Times New Roman" w:ascii="Times New Roman" w:hAnsi="Times New Roman"/>
          <w:b w:val="false"/>
          <w:bCs w:val="false"/>
        </w:rPr>
        <w:t xml:space="preserve">1. </w:t>
      </w:r>
      <w:r>
        <w:rPr>
          <w:rFonts w:cs="Times New Roman" w:ascii="Times New Roman" w:hAnsi="Times New Roman"/>
          <w:b w:val="false"/>
          <w:bCs w:val="false"/>
        </w:rPr>
        <w:t xml:space="preserve">Se recomienda utilizar tipos de datos de precisión exacta como </w:t>
      </w:r>
      <w:r>
        <w:rPr>
          <w:rFonts w:cs="Times New Roman" w:ascii="Times New Roman" w:hAnsi="Times New Roman"/>
          <w:b w:val="false"/>
          <w:bCs w:val="false"/>
        </w:rPr>
        <w:t>decimal</w:t>
      </w:r>
      <w:r>
        <w:rPr>
          <w:rFonts w:cs="Times New Roman" w:ascii="Times New Roman" w:hAnsi="Times New Roman"/>
          <w:b w:val="false"/>
          <w:bCs w:val="false"/>
        </w:rPr>
        <w:t xml:space="preserve"> o </w:t>
      </w:r>
      <w:r>
        <w:rPr>
          <w:rFonts w:cs="Times New Roman" w:ascii="Times New Roman" w:hAnsi="Times New Roman"/>
          <w:b w:val="false"/>
          <w:bCs w:val="false"/>
        </w:rPr>
        <w:t xml:space="preserve">numeric </w:t>
      </w:r>
      <w:r>
        <w:rPr>
          <w:rFonts w:cs="Times New Roman" w:ascii="Times New Roman" w:hAnsi="Times New Roman"/>
          <w:b w:val="false"/>
          <w:bCs w:val="false"/>
        </w:rPr>
        <w:t xml:space="preserve">en lugar de </w:t>
      </w:r>
      <w:r>
        <w:rPr>
          <w:rFonts w:cs="Times New Roman" w:ascii="Times New Roman" w:hAnsi="Times New Roman"/>
          <w:b w:val="false"/>
          <w:bCs w:val="false"/>
        </w:rPr>
        <w:t>float</w:t>
      </w:r>
      <w:r>
        <w:rPr>
          <w:rFonts w:cs="Times New Roman" w:ascii="Times New Roman" w:hAnsi="Times New Roman"/>
          <w:b w:val="false"/>
          <w:bCs w:val="false"/>
        </w:rPr>
        <w:t xml:space="preserve"> al diseñar campos financieros o contables para evitar errores de redondeo.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 w:val="false"/>
          <w:bCs w:val="false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 w:val="false"/>
          <w:bCs w:val="false"/>
        </w:rPr>
        <w:t xml:space="preserve">2. </w:t>
      </w:r>
      <w:r>
        <w:rPr>
          <w:rFonts w:cs="Times New Roman" w:ascii="Times New Roman" w:hAnsi="Times New Roman"/>
          <w:b w:val="false"/>
          <w:bCs w:val="false"/>
        </w:rPr>
        <w:t>Es aconsejable evaluar los requisitos de concurrencia, escalabilidad y complejidad analítica del proyecto de software antes de seleccionar entre MySQL y PostgreSQL como motor gestor definitivo.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Referencias Bibliográficas </w:t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>
          <w:rFonts w:cs="Times New Roman" w:ascii="Times New Roman" w:hAnsi="Times New Roman"/>
          <w:b w:val="false"/>
          <w:bCs w:val="false"/>
        </w:rPr>
        <w:t xml:space="preserve">Elmasri, R., &amp; Navathe, S. B. (2017). </w:t>
      </w:r>
      <w:r>
        <w:rPr>
          <w:rFonts w:cs="Times New Roman" w:ascii="Times New Roman" w:hAnsi="Times New Roman"/>
          <w:b w:val="false"/>
          <w:bCs w:val="false"/>
          <w:i/>
        </w:rPr>
        <w:t>Fundamentos de sistemas de bases de datos</w:t>
      </w:r>
      <w:r>
        <w:rPr>
          <w:rFonts w:cs="Times New Roman" w:ascii="Times New Roman" w:hAnsi="Times New Roman"/>
          <w:b w:val="false"/>
          <w:bCs w:val="false"/>
        </w:rPr>
        <w:t xml:space="preserve"> (7.ª ed.). Pearson Education. </w:t>
      </w:r>
      <w:hyperlink r:id="rId4">
        <w:r>
          <w:rPr>
            <w:rStyle w:val="Hyperlink"/>
            <w:rFonts w:cs="Times New Roman" w:ascii="Times New Roman" w:hAnsi="Times New Roman"/>
            <w:b w:val="false"/>
            <w:bCs w:val="false"/>
          </w:rPr>
          <w:t>https://ia802808.us.archive.org/8/items/fundamentosdesistemasdebasesdedatos/Fundamentos-de-Sistemas-de-Bases-de-Datos.pdf</w:t>
        </w:r>
      </w:hyperlink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 w:val="false"/>
          <w:bCs w:val="false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>
          <w:rFonts w:cs="Times New Roman" w:ascii="Times New Roman" w:hAnsi="Times New Roman"/>
          <w:b w:val="false"/>
          <w:bCs w:val="false"/>
        </w:rPr>
        <w:t xml:space="preserve">PostgreSQL Global Development Group. (2026). </w:t>
      </w:r>
      <w:r>
        <w:rPr>
          <w:rFonts w:cs="Times New Roman" w:ascii="Times New Roman" w:hAnsi="Times New Roman"/>
          <w:b w:val="false"/>
          <w:bCs w:val="false"/>
          <w:i/>
        </w:rPr>
        <w:t>PostgreSQL 18 Documentation: Data Types</w:t>
      </w:r>
      <w:r>
        <w:rPr>
          <w:rFonts w:cs="Times New Roman" w:ascii="Times New Roman" w:hAnsi="Times New Roman"/>
          <w:b w:val="false"/>
          <w:bCs w:val="false"/>
        </w:rPr>
        <w:t xml:space="preserve">. </w:t>
      </w:r>
      <w:hyperlink r:id="rId6">
        <w:r>
          <w:rPr>
            <w:rStyle w:val="Hyperlink"/>
            <w:rFonts w:cs="Times New Roman" w:ascii="Times New Roman" w:hAnsi="Times New Roman"/>
            <w:b w:val="false"/>
            <w:bCs w:val="false"/>
          </w:rPr>
          <w:t>https://www.postgresql.org/docs/current/datatype.html</w:t>
        </w:r>
      </w:hyperlink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 w:val="false"/>
          <w:bCs w:val="false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>
          <w:rFonts w:cs="Times New Roman" w:ascii="Times New Roman" w:hAnsi="Times New Roman"/>
          <w:b w:val="false"/>
          <w:bCs w:val="false"/>
        </w:rPr>
        <w:t xml:space="preserve">Silberschatz, A., Korth, H. F., &amp; Sudarshan, S. (2020). </w:t>
      </w:r>
      <w:r>
        <w:rPr>
          <w:rFonts w:cs="Times New Roman" w:ascii="Times New Roman" w:hAnsi="Times New Roman"/>
          <w:b w:val="false"/>
          <w:bCs w:val="false"/>
          <w:i/>
        </w:rPr>
        <w:t>Database system concepts</w:t>
      </w:r>
      <w:r>
        <w:rPr>
          <w:rFonts w:cs="Times New Roman" w:ascii="Times New Roman" w:hAnsi="Times New Roman"/>
          <w:b w:val="false"/>
          <w:bCs w:val="false"/>
        </w:rPr>
        <w:t xml:space="preserve"> (7.ª ed.). McGraw-Hill. </w:t>
      </w:r>
      <w:hyperlink r:id="rId7" w:tgtFrame="_blank">
        <w:r>
          <w:rPr>
            <w:rStyle w:val="Hyperlink"/>
            <w:rFonts w:cs="Times New Roman" w:ascii="Times New Roman" w:hAnsi="Times New Roman"/>
            <w:b w:val="false"/>
            <w:bCs w:val="false"/>
          </w:rPr>
          <w:t>https://www.gob.mx/cms/uploads/attachment/file/1001638/Fundamentos-de-bases-de-datos_a.pdf</w:t>
        </w:r>
      </w:hyperlink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176fa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176fa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76fa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76fa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76fa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176fa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76fa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76fa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76fa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176f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176f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176fa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176fa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176fa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176fa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176fa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176fa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176fa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176fa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176fa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176f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76f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176f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76f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176fa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176fac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176fa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176fa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176f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76f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176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176f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176f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ia802808.us.archive.org/8/items/fundamentosdesistemasdebasesdedatos/Fundamentos-de-Sistemas-de-Bases-de-Datos.pdf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https://www.postgresql.org/docs/current/datatype.html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www.gob.mx/cms/uploads/attachment/file/1001638/Fundamentos-de-bases-de-datos_a.pdf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4</Pages>
  <Words>524</Words>
  <Characters>3405</Characters>
  <CharactersWithSpaces>3927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2025-10-01T21:31:00Z</dcterms:created>
  <dc:creator>Cristian Guillermo Rivadeneira Cedeño</dc:creator>
  <dc:description/>
  <dc:language>en-US</dc:language>
  <cp:lastModifiedBy/>
  <dcterms:modified xsi:type="dcterms:W3CDTF">2026-10-22T14:54:57Z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