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Estado trófico de aguas continentales 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S</w:t>
      </w:r>
      <w:r w:rsidDel="00000000" w:rsidR="00000000" w:rsidRPr="00000000">
        <w:rPr>
          <w:rtl w:val="0"/>
        </w:rPr>
        <w:t xml:space="preserve">istema de clasificación de Carlson (1977) diseñado para valorar los cuerpos de agua continentales en función de su </w:t>
      </w:r>
      <w:hyperlink r:id="rId7">
        <w:r w:rsidDel="00000000" w:rsidR="00000000" w:rsidRPr="00000000">
          <w:rPr>
            <w:rtl w:val="0"/>
          </w:rPr>
          <w:t xml:space="preserve">productividad biológica</w:t>
        </w:r>
      </w:hyperlink>
      <w:r w:rsidDel="00000000" w:rsidR="00000000" w:rsidRPr="00000000">
        <w:rPr>
          <w:rtl w:val="0"/>
        </w:rPr>
        <w:t xml:space="preserve">. Depende principalmente de la carga de nutrientes, de su morfometría y del tiempo de permanencia de nutrientes en el agua.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Punto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041118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Hidrografía y oceanografía (04)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Aguas continentales (11)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78"/>
        <w:gridCol w:w="1582"/>
        <w:gridCol w:w="1935"/>
        <w:gridCol w:w="1245"/>
        <w:gridCol w:w="1584"/>
        <w:gridCol w:w="1710"/>
        <w:tblGridChange w:id="0">
          <w:tblGrid>
            <w:gridCol w:w="1578"/>
            <w:gridCol w:w="1582"/>
            <w:gridCol w:w="1935"/>
            <w:gridCol w:w="1245"/>
            <w:gridCol w:w="1584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HYP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Régimen hidrológico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Clasificación de acuerdo a la temporalidad de la presencia de agua en la superficie terrestre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de caracteres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hídrico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Agrupamiento de cuencas hídricas superficiales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Cuenca hídrica superficial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Región hídrica superficial, con criterio topográfico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estado trófico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Categoría del estado trófico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 de fuente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autoridad responsable de la información utilizada.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Dominios Régimen hidrológico </w:t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Perenne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lleva o contiene agua en forma permanente.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Intermitente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lleva o contiene agua temporalmente.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Dominios Tipo de Estado Trófico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Oligotrófico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Aguas poco productivas, nivel trófico bajo</w:t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Mesotrófico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Aguas moderadamente productivas, nivel trófico medio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Eutrófico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Aguas entre moderada y altamente productivas, nivel trófico alto</w:t>
            </w:r>
          </w:p>
        </w:tc>
      </w:tr>
      <w:tr>
        <w:trPr>
          <w:cantSplit w:val="0"/>
          <w:trHeight w:val="274.9804687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Hipereutrófico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Aguas altamente productivas, nivel trófico muy alto</w:t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Geraldi, A. M. (2009). Estudio geoambiental de la cuenca lagunar las encadenadas del oeste.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SENPLADES. (2013). Catálogo Nacional de Objetos Geográficos Versión 2.0. Recuperado de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https://iedg.sni.gob.ec/geoportal-iedg/documentos/catalogo_nacional_de_objetos_geograficos_v2.pdf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3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2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1943100</wp:posOffset>
              </wp:positionH>
              <wp:positionV relativeFrom="paragraph">
                <wp:posOffset>241300</wp:posOffset>
              </wp:positionV>
              <wp:extent cx="1415415" cy="32575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1943100</wp:posOffset>
              </wp:positionH>
              <wp:positionV relativeFrom="paragraph">
                <wp:posOffset>241300</wp:posOffset>
              </wp:positionV>
              <wp:extent cx="1415415" cy="325755"/>
              <wp:effectExtent b="0" l="0" r="0" t="0"/>
              <wp:wrapNone/>
              <wp:docPr id="2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5415" cy="325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s.wikipedia.org/wiki/Productividad_(biolog%C3%ADa)" TargetMode="External"/><Relationship Id="rId8" Type="http://schemas.openxmlformats.org/officeDocument/2006/relationships/hyperlink" Target="https://iedg.sni.gob.ec/geoportal-iedg/documentos/catalogo_nacional_de_objetos_geograficos_v2.pdf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4.png"/><Relationship Id="rId5" Type="http://schemas.openxmlformats.org/officeDocument/2006/relationships/image" Target="media/image6.png"/><Relationship Id="rId6" Type="http://schemas.openxmlformats.org/officeDocument/2006/relationships/image" Target="media/image5.png"/><Relationship Id="rId7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lr5KAOucO/HFy0/6hpuarxw/0Q==">AMUW2mXTU9lTLsbucX9o8c7BlXYoIW33BZSA6W9pkfpTwwkoGFxcZ3kIqlzjmcPCTxieGfKbM4Ung+79uAq6qrpkomlaixKftzWhM0zQJMZemSYc2kaMxvou9oSm1JRBypjwfphF8x1w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