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Propuesta de nuevo OG (Objeto Geográfico)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rtl w:val="0"/>
        </w:rPr>
        <w:t xml:space="preserve">Objeto Geográfico:</w:t>
      </w:r>
      <w:r w:rsidDel="00000000" w:rsidR="00000000" w:rsidRPr="00000000">
        <w:rPr>
          <w:rtl w:val="0"/>
        </w:rPr>
        <w:t xml:space="preserve"> Unidades de paisaje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Área geográfica con cierto grado de homogeneidad, con una configuración estructural, funcional o perceptivamente diferenciada, única y singular, que ha ido adquiriendo los caracteres que la definen tras un largo período de tiempo. Se identifica por su coherencia interna y sus diferencias con respecto a las unidades contiguas.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rtl w:val="0"/>
        </w:rPr>
        <w:t xml:space="preserve">Geometría</w:t>
      </w:r>
      <w:r w:rsidDel="00000000" w:rsidR="00000000" w:rsidRPr="00000000">
        <w:rPr>
          <w:rtl w:val="0"/>
        </w:rPr>
        <w:t xml:space="preserve">: polígono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rtl w:val="0"/>
        </w:rPr>
        <w:t xml:space="preserve">Clase:</w:t>
      </w:r>
      <w:r w:rsidDel="00000000" w:rsidR="00000000" w:rsidRPr="00000000">
        <w:rPr>
          <w:rtl w:val="0"/>
        </w:rPr>
        <w:t xml:space="preserve"> Geografia fisica (05)</w:t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rtl w:val="0"/>
        </w:rPr>
        <w:t xml:space="preserve">Subclase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78"/>
        <w:gridCol w:w="1582"/>
        <w:gridCol w:w="1591"/>
        <w:gridCol w:w="1583"/>
        <w:gridCol w:w="1584"/>
        <w:gridCol w:w="1710"/>
        <w:tblGridChange w:id="0">
          <w:tblGrid>
            <w:gridCol w:w="1578"/>
            <w:gridCol w:w="1582"/>
            <w:gridCol w:w="1591"/>
            <w:gridCol w:w="1583"/>
            <w:gridCol w:w="1584"/>
            <w:gridCol w:w="1710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Lista de atributos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atributo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Dominio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geográfico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Término genérico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Término especifico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Autoridad de fuente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Dominios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7.0" w:type="dxa"/>
        <w:jc w:val="left"/>
        <w:tblInd w:w="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3"/>
        <w:gridCol w:w="1847"/>
        <w:gridCol w:w="6237"/>
        <w:tblGridChange w:id="0">
          <w:tblGrid>
            <w:gridCol w:w="1413"/>
            <w:gridCol w:w="1847"/>
            <w:gridCol w:w="623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Álvarez, R. F. (2013). Metodología para la caracterización y diferenciación de las unidades de paisaje de un espacio de montaña: las sierras de Béjar y Candelario. </w:t>
      </w:r>
      <w:r w:rsidDel="00000000" w:rsidR="00000000" w:rsidRPr="00000000">
        <w:rPr>
          <w:rtl w:val="0"/>
        </w:rPr>
        <w:t xml:space="preserve">Boletín de la Asociación de Geógrafos Españoles</w:t>
      </w:r>
      <w:r w:rsidDel="00000000" w:rsidR="00000000" w:rsidRPr="00000000">
        <w:rPr>
          <w:rtl w:val="0"/>
        </w:rPr>
        <w:t xml:space="preserve">, (62), 101-127.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Espino, E. P. C. (2005). Unidades de paisaje: aproximación científica y aplicaciones.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IDERA (2019) Catálogo de Objetos Geográficos de la Infraestructura de Datos Espaciales de la República Argentina, versión 2.0. Grupo de trabajo Información Geoespacial. Recuperado IDERA, Argentina.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Serrano Giné, D. (2014): “Unidades de paisaje naturales y unidades de paisaje artificiales. Comparación mediante SIG y métricas de paisaje”, GeoFocus (Artículos), nº 14, p. 23-54. ISSN: 1578-5157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12 de Octubre 1098 - 3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superscript"/>
        <w:rtl w:val="0"/>
      </w:rPr>
      <w:t xml:space="preserve">er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E-mail: </w:t>
    </w:r>
    <w:hyperlink r:id="rId2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labgeot@uns.edu.ar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</w:t>
    </w:r>
    <w:hyperlink r:id="rId3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heading=h.gjdgxs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25391" cy="540000"/>
          <wp:effectExtent b="0" l="0" r="0" t="0"/>
          <wp:docPr id="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40000" cy="540000"/>
          <wp:effectExtent b="0" l="0" r="0" t="0"/>
          <wp:docPr id="2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89149" cy="540000"/>
          <wp:effectExtent b="0" l="0" r="0" t="0"/>
          <wp:docPr id="2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254000</wp:posOffset>
              </wp:positionV>
              <wp:extent cx="1405890" cy="588954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52580" y="3631410"/>
                        <a:ext cx="1386840" cy="2971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Autor:Arias J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ohanna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Año: 2022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36000" spcFirstLastPara="1" rIns="36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254000</wp:posOffset>
              </wp:positionV>
              <wp:extent cx="1405890" cy="588954"/>
              <wp:effectExtent b="0" l="0" r="0" t="0"/>
              <wp:wrapNone/>
              <wp:docPr id="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5890" cy="5889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838C6"/>
    <w:rPr>
      <w:sz w:val="24"/>
      <w:szCs w:val="24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semiHidden w:val="1"/>
    <w:rsid w:val="001144C9"/>
    <w:rPr>
      <w:rFonts w:ascii="Tahoma" w:cs="Tahoma" w:hAnsi="Tahoma"/>
      <w:sz w:val="16"/>
      <w:szCs w:val="16"/>
    </w:rPr>
  </w:style>
  <w:style w:type="character" w:styleId="Hipervnculo">
    <w:name w:val="Hyperlink"/>
    <w:basedOn w:val="Fuentedeprrafopredeter"/>
    <w:rsid w:val="00E31FC5"/>
    <w:rPr>
      <w:color w:val="0000ff"/>
      <w:u w:val="single"/>
    </w:rPr>
  </w:style>
  <w:style w:type="character" w:styleId="EstiloCorreo17" w:customStyle="1">
    <w:name w:val="EstiloCorreo17"/>
    <w:basedOn w:val="Fuentedeprrafopredeter"/>
    <w:semiHidden w:val="1"/>
    <w:rsid w:val="00E31FC5"/>
    <w:rPr>
      <w:rFonts w:ascii="Arial" w:cs="Arial" w:hAnsi="Arial"/>
      <w:color w:val="auto"/>
      <w:sz w:val="20"/>
      <w:szCs w:val="20"/>
    </w:rPr>
  </w:style>
  <w:style w:type="table" w:styleId="Tablaconcuadrcula">
    <w:name w:val="Table Grid"/>
    <w:basedOn w:val="Tablanormal"/>
    <w:rsid w:val="00F466D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rsid w:val="00F466D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F466DE"/>
    <w:rPr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rsid w:val="00F466D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rsid w:val="00F466DE"/>
    <w:rPr>
      <w:sz w:val="24"/>
      <w:szCs w:val="24"/>
      <w:lang w:eastAsia="es-ES" w:val="es-ES"/>
    </w:rPr>
  </w:style>
  <w:style w:type="paragraph" w:styleId="Textonotapie">
    <w:name w:val="footnote text"/>
    <w:basedOn w:val="Normal"/>
    <w:link w:val="TextonotapieCar"/>
    <w:uiPriority w:val="99"/>
    <w:unhideWhenUsed w:val="1"/>
    <w:rsid w:val="00FF25AF"/>
    <w:pPr>
      <w:spacing w:after="200" w:line="276" w:lineRule="auto"/>
    </w:pPr>
    <w:rPr>
      <w:rFonts w:ascii="Calibri" w:eastAsia="Calibri" w:hAnsi="Calibri"/>
      <w:sz w:val="20"/>
      <w:szCs w:val="20"/>
      <w:lang w:eastAsia="en-US" w:val="en-US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FF25AF"/>
    <w:rPr>
      <w:rFonts w:ascii="Calibri" w:eastAsia="Calibri" w:hAnsi="Calibri"/>
      <w:lang w:eastAsia="en-US" w:val="en-US"/>
    </w:rPr>
  </w:style>
  <w:style w:type="character" w:styleId="Refdecomentario">
    <w:name w:val="annotation reference"/>
    <w:basedOn w:val="Fuentedeprrafopredeter"/>
    <w:rsid w:val="003C6A9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C6A94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rsid w:val="003C6A94"/>
    <w:rPr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3C6A9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3C6A94"/>
    <w:rPr>
      <w:b w:val="1"/>
      <w:bCs w:val="1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C5676A"/>
    <w:pPr>
      <w:ind w:left="720"/>
      <w:contextualSpacing w:val="1"/>
    </w:p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92172"/>
    <w:rPr>
      <w:color w:val="808080"/>
      <w:shd w:color="auto" w:fill="e6e6e6" w:val="clear"/>
    </w:rPr>
  </w:style>
  <w:style w:type="paragraph" w:styleId="Revisin">
    <w:name w:val="Revision"/>
    <w:hidden w:val="1"/>
    <w:uiPriority w:val="99"/>
    <w:semiHidden w:val="1"/>
    <w:rsid w:val="00B60F51"/>
    <w:rPr>
      <w:sz w:val="24"/>
      <w:szCs w:val="24"/>
      <w:lang w:eastAsia="es-ES" w:val="es-ES"/>
    </w:rPr>
  </w:style>
  <w:style w:type="table" w:styleId="Tablaconcuadrculaclara">
    <w:name w:val="Grid Table Light"/>
    <w:basedOn w:val="Tablanormal"/>
    <w:uiPriority w:val="40"/>
    <w:rsid w:val="00B60F51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3.png"/><Relationship Id="rId4" Type="http://schemas.openxmlformats.org/officeDocument/2006/relationships/image" Target="media/image2.png"/><Relationship Id="rId5" Type="http://schemas.openxmlformats.org/officeDocument/2006/relationships/image" Target="media/image6.png"/><Relationship Id="rId6" Type="http://schemas.openxmlformats.org/officeDocument/2006/relationships/image" Target="media/image5.png"/><Relationship Id="rId7" Type="http://schemas.openxmlformats.org/officeDocument/2006/relationships/image" Target="media/image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XO9XJbHmgrtm3zRRhIjp3UCXvg==">AMUW2mVWnxREV2XvJIqXQpADvV5wUK7xywo3u8l0lWSTOfEenw2KapPt9nPZDHFjOmjyjQay2/XBLDqUMy6eMR2YszgiV2OAQbMYPDa3kqQhfHN4XCaxPkbzU1ZJ/1zUhdXDLWCx/1HX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2021-12-13T22:24:00Z</dcterms:created>
  <dc:creator>Alicia</dc:creator>
</cp:coreProperties>
</file>