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kuamz4kl4ni" w:id="0"/>
      <w:bookmarkEnd w:id="0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NTREGA 2: Arquitectura  y Modelado en Objetos - Parte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f8tgi660q0h" w:id="1"/>
      <w:bookmarkEnd w:id="1"/>
      <w:r w:rsidDel="00000000" w:rsidR="00000000" w:rsidRPr="00000000">
        <w:rPr>
          <w:rtl w:val="0"/>
        </w:rPr>
        <w:t xml:space="preserve">Objetivos de la entrega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Diseñar e implementar, de manera incremental, las nuevas funcionalidades.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Incorporar nociones de ejecuciones de tareas asincrónicas y/o calendarizadas.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Familiarizarse con otros componentes dentro de la arquitectura del Sistema y la orientación a servicios.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Familiarizarse con el concepto de APIs como mecanismo de integración y su consumo.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nvvi6pnc89yu" w:id="2"/>
      <w:bookmarkEnd w:id="2"/>
      <w:r w:rsidDel="00000000" w:rsidR="00000000" w:rsidRPr="00000000">
        <w:rPr>
          <w:rtl w:val="0"/>
        </w:rPr>
        <w:t xml:space="preserve">Unidades del Programa Vinculadas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Unidad 2: Herramientas de Concepción y Comunicación del Diseño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Unidad 3: Diseño con Objetos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Unidad 6: Diseño de Arquitectura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Unidad 8: Validación del Diseño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lwyqcd49u1dg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Fuentes dinámicas.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Fuentes proxy (intermediarias). Integración con sistemas externos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 otras ONGs,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 las propias instancias de MetaMapa.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Servicio de agregación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Refresco de Colecciones.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Rechazo de solicitudes de eliminación por tratarse de </w:t>
      </w:r>
      <w:r w:rsidDel="00000000" w:rsidR="00000000" w:rsidRPr="00000000">
        <w:rPr>
          <w:i w:val="1"/>
          <w:rtl w:val="0"/>
        </w:rPr>
        <w:t xml:space="preserve">spam </w:t>
      </w:r>
      <w:r w:rsidDel="00000000" w:rsidR="00000000" w:rsidRPr="00000000">
        <w:rPr>
          <w:rtl w:val="0"/>
        </w:rPr>
        <w:t xml:space="preserve">en forma automática.</w:t>
      </w:r>
    </w:p>
    <w:p w:rsidR="00000000" w:rsidDel="00000000" w:rsidP="00000000" w:rsidRDefault="00000000" w:rsidRPr="00000000" w14:paraId="00000014">
      <w:pPr>
        <w:pStyle w:val="Subtitle"/>
        <w:spacing w:after="0" w:lineRule="auto"/>
        <w:rPr/>
      </w:pPr>
      <w:bookmarkStart w:colFirst="0" w:colLast="0" w:name="_nf9casmw3ll4" w:id="4"/>
      <w:bookmarkEnd w:id="4"/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ua70tpbus3jm" w:id="5"/>
      <w:bookmarkEnd w:id="5"/>
      <w:r w:rsidDel="00000000" w:rsidR="00000000" w:rsidRPr="00000000">
        <w:rPr>
          <w:rtl w:val="0"/>
        </w:rPr>
        <w:t xml:space="preserve">Fuentes dinámicas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esta iteración, se implementará la funcionalidad que permitirá a los </w:t>
      </w:r>
      <w:r w:rsidDel="00000000" w:rsidR="00000000" w:rsidRPr="00000000">
        <w:rPr>
          <w:b w:val="1"/>
          <w:i w:val="1"/>
          <w:rtl w:val="0"/>
        </w:rPr>
        <w:t xml:space="preserve">contribuyentes</w:t>
      </w:r>
      <w:r w:rsidDel="00000000" w:rsidR="00000000" w:rsidRPr="00000000">
        <w:rPr>
          <w:rtl w:val="0"/>
        </w:rPr>
        <w:t xml:space="preserve"> del Sistema subir </w:t>
      </w:r>
      <w:r w:rsidDel="00000000" w:rsidR="00000000" w:rsidRPr="00000000">
        <w:rPr>
          <w:b w:val="1"/>
          <w:i w:val="1"/>
          <w:rtl w:val="0"/>
        </w:rPr>
        <w:t xml:space="preserve">hechos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 forma anónima</w:t>
      </w:r>
      <w:r w:rsidDel="00000000" w:rsidR="00000000" w:rsidRPr="00000000">
        <w:rPr>
          <w:rtl w:val="0"/>
        </w:rPr>
        <w:t xml:space="preserve"> o registrada. Retomando 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diagrama de arquitectura</w:t>
        </w:r>
      </w:hyperlink>
      <w:r w:rsidDel="00000000" w:rsidR="00000000" w:rsidRPr="00000000">
        <w:rPr>
          <w:rtl w:val="0"/>
        </w:rPr>
        <w:t xml:space="preserve"> provisto en el Contexto general, este requerimiento deberá satisfacerse en el </w:t>
      </w:r>
      <w:r w:rsidDel="00000000" w:rsidR="00000000" w:rsidRPr="00000000">
        <w:rPr>
          <w:b w:val="1"/>
          <w:i w:val="1"/>
          <w:rtl w:val="0"/>
        </w:rPr>
        <w:t xml:space="preserve">servicio de fuentes dinámicas</w:t>
      </w:r>
      <w:r w:rsidDel="00000000" w:rsidR="00000000" w:rsidRPr="00000000">
        <w:rPr>
          <w:b w:val="1"/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Si la persona no está registrada en la plataforma, podrá subir hechos sin posibilidad de edición posterior.</w:t>
      </w:r>
      <w:r w:rsidDel="00000000" w:rsidR="00000000" w:rsidRPr="00000000">
        <w:rPr>
          <w:rtl w:val="0"/>
        </w:rPr>
        <w:t xml:space="preserve"> En cambio, si los sube en forma registrada podrá realizar modificaciones al mismo en caso de que lo necesitara, pero solo en el plazo de una semana. </w:t>
      </w:r>
      <w:r w:rsidDel="00000000" w:rsidR="00000000" w:rsidRPr="00000000">
        <w:rPr>
          <w:rtl w:val="0"/>
        </w:rPr>
        <w:t xml:space="preserve">En ambos casos podrán estar sujetos a revisión por parte de las personas </w:t>
      </w:r>
      <w:r w:rsidDel="00000000" w:rsidR="00000000" w:rsidRPr="00000000">
        <w:rPr>
          <w:b w:val="1"/>
          <w:i w:val="1"/>
          <w:rtl w:val="0"/>
        </w:rPr>
        <w:t xml:space="preserve">administradoras, </w:t>
      </w:r>
      <w:r w:rsidDel="00000000" w:rsidR="00000000" w:rsidRPr="00000000">
        <w:rPr>
          <w:rtl w:val="0"/>
        </w:rPr>
        <w:t xml:space="preserve">que podrán aceptar, </w:t>
      </w:r>
      <w:r w:rsidDel="00000000" w:rsidR="00000000" w:rsidRPr="00000000">
        <w:rPr>
          <w:rtl w:val="0"/>
        </w:rPr>
        <w:t xml:space="preserve">aceptar con sugerencia de cambios </w:t>
      </w:r>
      <w:r w:rsidDel="00000000" w:rsidR="00000000" w:rsidRPr="00000000">
        <w:rPr>
          <w:rtl w:val="0"/>
        </w:rPr>
        <w:t xml:space="preserve">o rechazar la información.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desarrollarán los mecanismos necesarios para gestionar la subida de información en formato tanto de texto como multimedia.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a36jilhhlub" w:id="6"/>
      <w:bookmarkEnd w:id="6"/>
      <w:r w:rsidDel="00000000" w:rsidR="00000000" w:rsidRPr="00000000">
        <w:rPr>
          <w:rtl w:val="0"/>
        </w:rPr>
        <w:t xml:space="preserve">Fuentes proxy (intermediarias)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Existen sistemas externos provistos por otras organizaciones no gubernamentales que proveen hechos de generación propia mediante APIs y/o bibliotecas de diferente tipo. Tal como se observa en el diagrama de arquitectura, esto se realizará a través de </w:t>
      </w:r>
      <w:r w:rsidDel="00000000" w:rsidR="00000000" w:rsidRPr="00000000">
        <w:rPr>
          <w:b w:val="1"/>
          <w:i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fuentes proxy</w:t>
      </w:r>
      <w:r w:rsidDel="00000000" w:rsidR="00000000" w:rsidRPr="00000000">
        <w:rPr>
          <w:rtl w:val="0"/>
        </w:rPr>
        <w:t xml:space="preserve"> (intermediarias). Es posible (y deseable, como se verá en futuras entregas) que más de una fuente retorne el mismo hecho, es decir, con iguales o muy similares atributos.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En particular, en esta iteración nos estaremos integrando a una API que será provista por la Cátedra, cuya estructura será documentada y provista próximamente.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Fuente MetaMapa: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Por otro lado, el Sistema deberá proveer la capacidad de comunicarse con otras instancias de MetaMapa. Esto lo haremos a través de una interfaz API REST, siguiendo la siguiente estructura tentativa (con posibles modificaciones en el futuro):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6765"/>
        <w:tblGridChange w:id="0">
          <w:tblGrid>
            <w:gridCol w:w="367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 /hechos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Esta ruta expone todos los hechos del sistema y los devuelve como una lista en formato JSON. La misma acepta parámetros para filtrar los resultados: </w:t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categoría, fecha_reporte_desde, fecha_reporte_hasta, 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fecha_acontecimiento_desde, fecha_acontecimiento_hasta, ubicacion.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 /colecciones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Esta ruta expone todas las colecciones disponibles en esta instancia de MetaMapa, independientemente del origen de sus fuentes.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/colecciones/:identificador/hechos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Esta ruta, similar a la anterior, permite obtener los hechos asociados a una colección. Acepta los mismos parámetros y devuelve los resultados en el mismo formato.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/solicitudes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Permite crear solicitudes de eliminación, enviando los datos de la solicitud como un JSON a través del cuerpo </w:t>
            </w:r>
            <w:r w:rsidDel="00000000" w:rsidR="00000000" w:rsidRPr="00000000">
              <w:rPr>
                <w:i w:val="1"/>
                <w:rtl w:val="0"/>
              </w:rPr>
              <w:t xml:space="preserve">(body)</w:t>
            </w:r>
            <w:r w:rsidDel="00000000" w:rsidR="00000000" w:rsidRPr="00000000">
              <w:rPr>
                <w:rtl w:val="0"/>
              </w:rPr>
              <w:t xml:space="preserve"> de la misma.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 bien en próximas iteraciones trabajaremos en exponer nuestros propios servicios utilizando esta interfaz, </w:t>
      </w:r>
      <w:r w:rsidDel="00000000" w:rsidR="00000000" w:rsidRPr="00000000">
        <w:rPr>
          <w:b w:val="1"/>
          <w:rtl w:val="0"/>
        </w:rPr>
        <w:t xml:space="preserve">por ahora se desea que nuestras fuentes proxy también sean capaces de consumir este tipo de API.</w:t>
      </w:r>
      <w:r w:rsidDel="00000000" w:rsidR="00000000" w:rsidRPr="00000000">
        <w:rPr>
          <w:rtl w:val="0"/>
        </w:rPr>
        <w:t xml:space="preserve">  Este será consumido en tiempo real y se espera que sus resultados sean siempre actuales. </w:t>
      </w:r>
    </w:p>
    <w:p w:rsidR="00000000" w:rsidDel="00000000" w:rsidP="00000000" w:rsidRDefault="00000000" w:rsidRPr="00000000" w14:paraId="0000002D">
      <w:pPr>
        <w:pStyle w:val="Heading3"/>
        <w:spacing w:line="276" w:lineRule="auto"/>
        <w:rPr/>
      </w:pPr>
      <w:bookmarkStart w:colFirst="0" w:colLast="0" w:name="_we6ulpdtc8iy" w:id="7"/>
      <w:bookmarkEnd w:id="7"/>
      <w:r w:rsidDel="00000000" w:rsidR="00000000" w:rsidRPr="00000000">
        <w:rPr>
          <w:rtl w:val="0"/>
        </w:rPr>
        <w:t xml:space="preserve">Servicio de agregación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esta iteración, se requiere modelar el </w:t>
      </w:r>
      <w:r w:rsidDel="00000000" w:rsidR="00000000" w:rsidRPr="00000000">
        <w:rPr>
          <w:b w:val="1"/>
          <w:i w:val="1"/>
          <w:rtl w:val="0"/>
        </w:rPr>
        <w:t xml:space="preserve">servicio de agregación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descripto</w:t>
      </w:r>
      <w:r w:rsidDel="00000000" w:rsidR="00000000" w:rsidRPr="00000000">
        <w:rPr>
          <w:rtl w:val="0"/>
        </w:rPr>
        <w:t xml:space="preserve"> en el diagrama de despliegue inicial. Esto permitirá que las personas visitantes y/o contribuyentes de la plataforma </w:t>
      </w:r>
      <w:r w:rsidDel="00000000" w:rsidR="00000000" w:rsidRPr="00000000">
        <w:rPr>
          <w:rtl w:val="0"/>
        </w:rPr>
        <w:t xml:space="preserve">accedan</w:t>
      </w:r>
      <w:r w:rsidDel="00000000" w:rsidR="00000000" w:rsidRPr="00000000">
        <w:rPr>
          <w:rtl w:val="0"/>
        </w:rPr>
        <w:t xml:space="preserve"> a hechos de una colección provenientes de </w:t>
      </w:r>
      <w:r w:rsidDel="00000000" w:rsidR="00000000" w:rsidRPr="00000000">
        <w:rPr>
          <w:b w:val="1"/>
          <w:i w:val="1"/>
          <w:rtl w:val="0"/>
        </w:rPr>
        <w:t xml:space="preserve">todas las fuentes</w:t>
      </w:r>
      <w:r w:rsidDel="00000000" w:rsidR="00000000" w:rsidRPr="00000000">
        <w:rPr>
          <w:rtl w:val="0"/>
        </w:rPr>
        <w:t xml:space="preserve">. Por lo tanto, se permite ahora que las colecciones contengan hechos de distintas fuentes, sean estas </w:t>
      </w:r>
      <w:r w:rsidDel="00000000" w:rsidR="00000000" w:rsidRPr="00000000">
        <w:rPr>
          <w:b w:val="1"/>
          <w:i w:val="1"/>
          <w:rtl w:val="0"/>
        </w:rPr>
        <w:t xml:space="preserve">estáticas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dinámicas </w:t>
      </w:r>
      <w:r w:rsidDel="00000000" w:rsidR="00000000" w:rsidRPr="00000000">
        <w:rPr>
          <w:rtl w:val="0"/>
        </w:rPr>
        <w:t xml:space="preserve">o provenientes de servicios externos (fuentes </w:t>
      </w:r>
      <w:r w:rsidDel="00000000" w:rsidR="00000000" w:rsidRPr="00000000">
        <w:rPr>
          <w:b w:val="1"/>
          <w:i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). Además, para posibilitar la futura exposición REST de las mismas, se incorporará un atributo textual identificador </w:t>
      </w:r>
      <w:r w:rsidDel="00000000" w:rsidR="00000000" w:rsidRPr="00000000">
        <w:rPr>
          <w:b w:val="1"/>
          <w:i w:val="1"/>
          <w:rtl w:val="0"/>
        </w:rPr>
        <w:t xml:space="preserve">(handle) </w:t>
      </w:r>
      <w:r w:rsidDel="00000000" w:rsidR="00000000" w:rsidRPr="00000000">
        <w:rPr>
          <w:rtl w:val="0"/>
        </w:rPr>
        <w:t xml:space="preserve">que será un </w:t>
      </w:r>
      <w:r w:rsidDel="00000000" w:rsidR="00000000" w:rsidRPr="00000000">
        <w:rPr>
          <w:rtl w:val="0"/>
        </w:rPr>
        <w:t xml:space="preserve">string alfanumérico, sin espacios, único entre todas las colecciones.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vx0vq6wo2qnd" w:id="8"/>
      <w:bookmarkEnd w:id="8"/>
      <w:r w:rsidDel="00000000" w:rsidR="00000000" w:rsidRPr="00000000">
        <w:rPr>
          <w:rtl w:val="0"/>
        </w:rPr>
        <w:t xml:space="preserve">Refresco de Colecciones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 pide que, una vez por hora, el</w:t>
      </w:r>
      <w:r w:rsidDel="00000000" w:rsidR="00000000" w:rsidRPr="00000000">
        <w:rPr>
          <w:b w:val="1"/>
          <w:i w:val="1"/>
          <w:rtl w:val="0"/>
        </w:rPr>
        <w:t xml:space="preserve"> servicio de agregación </w:t>
      </w:r>
      <w:r w:rsidDel="00000000" w:rsidR="00000000" w:rsidRPr="00000000">
        <w:rPr>
          <w:rtl w:val="0"/>
        </w:rPr>
        <w:t xml:space="preserve">actualice los hechos pertenecientes a las distintas colecciones, </w:t>
      </w:r>
      <w:r w:rsidDel="00000000" w:rsidR="00000000" w:rsidRPr="00000000">
        <w:rPr>
          <w:rtl w:val="0"/>
        </w:rPr>
        <w:t xml:space="preserve">en caso de que las fuentes hayan incorporado nuevos hechos.</w:t>
      </w:r>
      <w:r w:rsidDel="00000000" w:rsidR="00000000" w:rsidRPr="00000000">
        <w:rPr>
          <w:rtl w:val="0"/>
        </w:rPr>
        <w:t xml:space="preserve"> Se excluye de este requerimiento la actualización de los hechos provenientes de </w:t>
      </w:r>
      <w:r w:rsidDel="00000000" w:rsidR="00000000" w:rsidRPr="00000000">
        <w:rPr>
          <w:b w:val="1"/>
          <w:i w:val="1"/>
          <w:rtl w:val="0"/>
        </w:rPr>
        <w:t xml:space="preserve">fuentes proxy MetaMapa</w:t>
      </w:r>
      <w:r w:rsidDel="00000000" w:rsidR="00000000" w:rsidRPr="00000000">
        <w:rPr>
          <w:rtl w:val="0"/>
        </w:rPr>
        <w:t xml:space="preserve">, que deben ser obtenidos en tiempo real en todos los casos. 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n5ezk1y07r4" w:id="9"/>
      <w:bookmarkEnd w:id="9"/>
      <w:r w:rsidDel="00000000" w:rsidR="00000000" w:rsidRPr="00000000">
        <w:rPr>
          <w:rtl w:val="0"/>
        </w:rPr>
        <w:t xml:space="preserve">Solicitudes de eliminación y r</w:t>
      </w:r>
      <w:r w:rsidDel="00000000" w:rsidR="00000000" w:rsidRPr="00000000">
        <w:rPr>
          <w:rtl w:val="0"/>
        </w:rPr>
        <w:t xml:space="preserve">echazo por spam en forma automática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 la anterior entrega, se contempló </w:t>
      </w:r>
      <w:r w:rsidDel="00000000" w:rsidR="00000000" w:rsidRPr="00000000">
        <w:rPr>
          <w:rtl w:val="0"/>
        </w:rPr>
        <w:t xml:space="preserve">la posibilidad de que una persona (registrada o no) pueda solicitar la eliminación de un hecho que haya sido subido por otro usuario. En este caso, se solicita extender la funcionalidad a que pueda solicitar la eliminación de un hecho de cualquier fuente.</w:t>
      </w:r>
      <w:r w:rsidDel="00000000" w:rsidR="00000000" w:rsidRPr="00000000">
        <w:rPr>
          <w:rtl w:val="0"/>
        </w:rPr>
        <w:t xml:space="preserve"> Es decir, el </w:t>
      </w:r>
      <w:r w:rsidDel="00000000" w:rsidR="00000000" w:rsidRPr="00000000">
        <w:rPr>
          <w:b w:val="1"/>
          <w:i w:val="1"/>
          <w:rtl w:val="0"/>
        </w:rPr>
        <w:t xml:space="preserve">servicio de agregación </w:t>
      </w:r>
      <w:r w:rsidDel="00000000" w:rsidR="00000000" w:rsidRPr="00000000">
        <w:rPr>
          <w:rtl w:val="0"/>
        </w:rPr>
        <w:t xml:space="preserve">deberá contemplar las solicitudes de eliminación y, en caso de que sean aceptadas, deberá revisar su origen e impedir que se lo pueda mostrar en la colección.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simplificar esta tarea, se cuenta con un componente ya desarrollado que permite la detección de casos de spam evidentes. Si éste marca a la solicitud como </w:t>
      </w:r>
      <w:r w:rsidDel="00000000" w:rsidR="00000000" w:rsidRPr="00000000">
        <w:rPr>
          <w:i w:val="1"/>
          <w:rtl w:val="0"/>
        </w:rPr>
        <w:t xml:space="preserve">spam</w:t>
      </w:r>
      <w:r w:rsidDel="00000000" w:rsidR="00000000" w:rsidRPr="00000000">
        <w:rPr>
          <w:rtl w:val="0"/>
        </w:rPr>
        <w:t xml:space="preserve">, la solicitud deberá ser rechazada automáticamente. </w:t>
      </w:r>
    </w:p>
    <w:tbl>
      <w:tblPr>
        <w:tblStyle w:val="Table2"/>
        <w:jc w:val="lef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DetectorDeSpam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esSpam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(String texto)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3xbmi9tuanxg" w:id="10"/>
      <w:bookmarkEnd w:id="10"/>
      <w:r w:rsidDel="00000000" w:rsidR="00000000" w:rsidRPr="00000000">
        <w:rPr>
          <w:rtl w:val="0"/>
        </w:rPr>
        <w:t xml:space="preserve">Requerimientos detallados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debe permitir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creación de un hecho a partir de una fuente dinámica </w:t>
      </w:r>
      <w:r w:rsidDel="00000000" w:rsidR="00000000" w:rsidRPr="00000000">
        <w:rPr>
          <w:rtl w:val="0"/>
        </w:rPr>
        <w:t xml:space="preserve">por parte de los contribuyentes.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debe permitir la </w:t>
      </w:r>
      <w:r w:rsidDel="00000000" w:rsidR="00000000" w:rsidRPr="00000000">
        <w:rPr>
          <w:b w:val="1"/>
          <w:i w:val="1"/>
          <w:rtl w:val="0"/>
        </w:rPr>
        <w:t xml:space="preserve">integración con las fuentes proxy/intermediarias necesarias</w:t>
      </w:r>
      <w:r w:rsidDel="00000000" w:rsidR="00000000" w:rsidRPr="00000000">
        <w:rPr>
          <w:rtl w:val="0"/>
        </w:rPr>
        <w:t xml:space="preserve"> para recolectar hechos.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debe permitir la obtención de todos los hechos de las </w:t>
      </w:r>
      <w:r w:rsidDel="00000000" w:rsidR="00000000" w:rsidRPr="00000000">
        <w:rPr>
          <w:b w:val="1"/>
          <w:i w:val="1"/>
          <w:rtl w:val="0"/>
        </w:rPr>
        <w:t xml:space="preserve">diferentes fuentes proxy tipo MetaMapa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tiempo real.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que las colecciones tengan hechos de cualquier tipo de fuente, a partir de la</w:t>
      </w:r>
      <w:r w:rsidDel="00000000" w:rsidR="00000000" w:rsidRPr="00000000">
        <w:rPr>
          <w:b w:val="1"/>
          <w:i w:val="1"/>
          <w:rtl w:val="0"/>
        </w:rPr>
        <w:t xml:space="preserve"> agregación de fuentes.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debe permitir el rechazo de solicitudes de eliminación en forma automática cuando se detecta que se trata de spam. Se puede investigar sobre </w:t>
      </w:r>
      <w:r w:rsidDel="00000000" w:rsidR="00000000" w:rsidRPr="00000000">
        <w:rPr>
          <w:i w:val="1"/>
          <w:rtl w:val="0"/>
        </w:rPr>
        <w:t xml:space="preserve">el algoritmo TF-IDF para la detección de spam. </w:t>
      </w:r>
      <w:r w:rsidDel="00000000" w:rsidR="00000000" w:rsidRPr="00000000">
        <w:rPr>
          <w:rtl w:val="0"/>
        </w:rPr>
        <w:t xml:space="preserve">Utilizar filtros de spam básicos de forma local o utilizando un servicio externo. 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zfvqnjq1mln9" w:id="11"/>
      <w:bookmarkEnd w:id="11"/>
      <w:r w:rsidDel="00000000" w:rsidR="00000000" w:rsidRPr="00000000">
        <w:rPr>
          <w:rtl w:val="0"/>
        </w:rPr>
        <w:t xml:space="preserve">Consideraciones para la Entrega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esta entrega, para el desarrollo del TPA se deberá incorporar el uso de Git Flow en base a las pautas establecidas en este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documento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c51p9fdf505s" w:id="12"/>
      <w:bookmarkEnd w:id="12"/>
      <w:r w:rsidDel="00000000" w:rsidR="00000000" w:rsidRPr="00000000">
        <w:rPr>
          <w:rtl w:val="0"/>
        </w:rPr>
        <w:t xml:space="preserve">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del Dominio:</w:t>
      </w:r>
      <w:r w:rsidDel="00000000" w:rsidR="00000000" w:rsidRPr="00000000">
        <w:rPr>
          <w:rtl w:val="0"/>
        </w:rPr>
        <w:t xml:space="preserve"> diagrama de clases que contemple las funcionalidades requeridas.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Justificaciones de Diseño</w:t>
      </w:r>
      <w:r w:rsidDel="00000000" w:rsidR="00000000" w:rsidRPr="00000000">
        <w:rPr>
          <w:rtl w:val="0"/>
        </w:rPr>
        <w:t xml:space="preserve">: Documento y </w:t>
      </w:r>
      <w:r w:rsidDel="00000000" w:rsidR="00000000" w:rsidRPr="00000000">
        <w:rPr>
          <w:rtl w:val="0"/>
        </w:rPr>
        <w:t xml:space="preserve">Diagramas Complementarios que considere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</w:t>
      </w:r>
      <w:r w:rsidDel="00000000" w:rsidR="00000000" w:rsidRPr="00000000">
        <w:rPr>
          <w:rtl w:val="0"/>
        </w:rPr>
        <w:t xml:space="preserve">de requerimientos de la Entrega Actual. Favorecer la reutilización del código de lo ya desarrollado, pero identificando correctamente los servicios involucrados.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 de arquitectura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Bonus. </w:t>
      </w:r>
      <w:r w:rsidDel="00000000" w:rsidR="00000000" w:rsidRPr="00000000">
        <w:rPr>
          <w:rtl w:val="0"/>
        </w:rPr>
        <w:t xml:space="preserve">Implementación de un filtro de spam básico de forma local o utilizando un servicio externo. Analizar Ventajas y Desventajas apoyándose en Atributos de Calidad.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720" w:top="708.6614173228347" w:left="720" w:right="720" w:header="567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 el diagrama de despliegue, se indica que el servicio de fuentes dinámicas y el servicio agregador tienen una base de datos de Hechos y Solicitudes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cada uno, una distinta</w:t>
      </w:r>
      <w:r w:rsidDel="00000000" w:rsidR="00000000" w:rsidRPr="00000000">
        <w:rPr>
          <w:sz w:val="20"/>
          <w:szCs w:val="20"/>
          <w:rtl w:val="0"/>
        </w:rPr>
        <w:t xml:space="preserve">). Como aún no tratamos bases de datos en la cursada, recomendamos implementar un Patrón Repositorio que cumpla esa función y mantenga las entidades necesarias en memoria. </w:t>
      </w:r>
    </w:p>
  </w:footnote>
  <w:footnote w:id="1"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Queda por fuera del alcance de esta entrega realizar algún tipo de procesamiento adicional sobre los hechos “repetidos”.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/>
    </w:pPr>
    <w:r w:rsidDel="00000000" w:rsidR="00000000" w:rsidRPr="00000000">
      <w:rPr>
        <w:rtl w:val="0"/>
      </w:rPr>
      <w:tab/>
      <w:tab/>
      <w:t xml:space="preserve">Trabajo Práctico Anual 2025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-238124</wp:posOffset>
          </wp:positionV>
          <wp:extent cx="2275799" cy="453375"/>
          <wp:effectExtent b="0" l="0" r="0" t="0"/>
          <wp:wrapNone/>
          <wp:docPr descr="diseño de sistemas de información.png" id="1" name="image1.png"/>
          <a:graphic>
            <a:graphicData uri="http://schemas.openxmlformats.org/drawingml/2006/picture">
              <pic:pic>
                <pic:nvPicPr>
                  <pic:cNvPr descr="diseño de sistemas de informació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5799" cy="45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tabs>
        <w:tab w:val="center" w:leader="none" w:pos="4252"/>
        <w:tab w:val="right" w:leader="none" w:pos="8504"/>
      </w:tabs>
      <w:spacing w:after="0" w:line="240" w:lineRule="auto"/>
      <w:jc w:val="center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drawing>
        <wp:inline distB="19050" distT="19050" distL="19050" distR="19050">
          <wp:extent cx="2275799" cy="453375"/>
          <wp:effectExtent b="0" l="0" r="0" t="0"/>
          <wp:docPr descr="diseño de sistemas de información.png" id="2" name="image1.png"/>
          <a:graphic>
            <a:graphicData uri="http://schemas.openxmlformats.org/drawingml/2006/picture">
              <pic:pic>
                <pic:nvPicPr>
                  <pic:cNvPr descr="diseño de sistemas de informació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5799" cy="453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48">
    <w:pP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s-AR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  <w:jc w:val="both"/>
    </w:pPr>
    <w:rPr>
      <w:rFonts w:ascii="Arial" w:cs="Arial" w:eastAsia="Arial" w:hAnsi="Arial"/>
      <w:i w:val="1"/>
      <w:color w:val="073763"/>
      <w:sz w:val="26"/>
      <w:szCs w:val="26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ctxGwWrnM0XmPii38KWod9mTzphzNxxPRg9HkpXyNBg/edit?tab=t.0#heading=h.mon9v3tjqa1s" TargetMode="External"/><Relationship Id="rId8" Type="http://schemas.openxmlformats.org/officeDocument/2006/relationships/hyperlink" Target="https://docs.google.com/document/u/0/d/1otSjcBzWbHJaomWcDgsLGKc6fVZxOSXu1eMG4ddwqnM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