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0" w:line="276" w:lineRule="auto"/>
        <w:jc w:val="center"/>
        <w:rPr>
          <w:b w:val="1"/>
          <w:sz w:val="32"/>
          <w:szCs w:val="32"/>
        </w:rPr>
      </w:pPr>
      <w:bookmarkStart w:colFirst="0" w:colLast="0" w:name="_4gc697nwzco3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ENTREGA: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Diseño y Maquetado de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80" w:before="360" w:line="276" w:lineRule="auto"/>
        <w:jc w:val="both"/>
        <w:rPr>
          <w:rFonts w:ascii="Roboto" w:cs="Roboto" w:eastAsia="Roboto" w:hAnsi="Roboto"/>
        </w:rPr>
      </w:pPr>
      <w:bookmarkStart w:colFirst="0" w:colLast="0" w:name="_go74i4aszyzm" w:id="1"/>
      <w:bookmarkEnd w:id="1"/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Objetivos de la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Incorporar nociones de Diseño UI/UX.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Incorporar nociones de maquetado Web a través de un lenguaje de marcado como HTML5.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Incorporar nociones de aplicación de estilos sobre maquetas Web a través de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76" w:lineRule="auto"/>
        <w:ind w:left="0" w:firstLine="0"/>
        <w:jc w:val="both"/>
        <w:rPr>
          <w:i w:val="1"/>
          <w:color w:val="073763"/>
          <w:sz w:val="26"/>
          <w:szCs w:val="26"/>
        </w:rPr>
      </w:pPr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Diseño y maquetado de interfaces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80" w:before="200" w:line="276" w:lineRule="auto"/>
        <w:jc w:val="both"/>
        <w:rPr>
          <w:rFonts w:ascii="Roboto" w:cs="Roboto" w:eastAsia="Roboto" w:hAnsi="Roboto"/>
        </w:rPr>
      </w:pPr>
      <w:bookmarkStart w:colFirst="0" w:colLast="0" w:name="_wm6fnrshn15l" w:id="2"/>
      <w:bookmarkEnd w:id="2"/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Unidades del Programa Vinculadas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Unidad 4: Diseño de Interfaz de Usuario.</w:t>
      </w:r>
    </w:p>
    <w:p w:rsidR="00000000" w:rsidDel="00000000" w:rsidP="00000000" w:rsidRDefault="00000000" w:rsidRPr="00000000" w14:paraId="0000000A">
      <w:pPr>
        <w:pStyle w:val="Subtitle"/>
        <w:spacing w:after="80" w:before="360" w:line="276" w:lineRule="auto"/>
        <w:jc w:val="both"/>
        <w:rPr>
          <w:rFonts w:ascii="Roboto" w:cs="Roboto" w:eastAsia="Roboto" w:hAnsi="Roboto"/>
        </w:rPr>
      </w:pPr>
      <w:bookmarkStart w:colFirst="0" w:colLast="0" w:name="_ppcigxdm4b4g" w:id="3"/>
      <w:bookmarkEnd w:id="3"/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Nuestro sistema contará con una interfaz web que podrá ser accesible por colaboradores y administradores de la plataforma. Para eso se requiere diseñar y maquetar las interfaces de usuario para los siguientes requerimientos:</w:t>
      </w:r>
    </w:p>
    <w:p w:rsidR="00000000" w:rsidDel="00000000" w:rsidP="00000000" w:rsidRDefault="00000000" w:rsidRPr="00000000" w14:paraId="0000000C">
      <w:pPr>
        <w:spacing w:after="160" w:line="276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Acceso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contar con una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landing page</w:t>
      </w:r>
      <w:r w:rsidDel="00000000" w:rsidR="00000000" w:rsidRPr="00000000">
        <w:rPr>
          <w:rFonts w:ascii="Roboto" w:cs="Roboto" w:eastAsia="Roboto" w:hAnsi="Roboto"/>
          <w:i w:val="1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 accesible públicamente que permita: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Presentar el propósito y objetivos de MetaMapa.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Mostrar ejemplos destacados de colecciones y hechos.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="276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Incluir enlaces de acceso a: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line="276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Visualización de hechos sin login.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line="276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Registro o inicio de sesión para contribuyentes y administradores.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line="276" w:lineRule="auto"/>
        <w:ind w:left="216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Información legal y de privacidad.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permitir el acceso anónimo para visualizar hechos y colecciones.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mostrar los hechos en un mapa interactivo y permitir ver sus detalles al hacer clic en cada marcador.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permitir el registro de contribuyentes con nombre obligatorio, y otros datos opcionales.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permitir el inicio de sesión de contribuyentes y administradores.</w:t>
      </w:r>
    </w:p>
    <w:p w:rsidR="00000000" w:rsidDel="00000000" w:rsidP="00000000" w:rsidRDefault="00000000" w:rsidRPr="00000000" w14:paraId="00000018">
      <w:pPr>
        <w:spacing w:after="160"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Visualizador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visualizador debe poder acceder a un listado de colecciones disponibles.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visualizador debe poder filtrar los hechos dentro de una colección por fecha, ubicación, categoría y fuente.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visualizador debe poder alternar entre modo de navegación curado e irrestricto.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visualizador debe poder visualizar detalles de un hecho, incluyendo ubicación, contenido multimedia y fuente.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usuario visualizador debe poder generar solicitudes de eliminación de hechos con una justificación mínima de 500 caracteres.</w:t>
      </w:r>
    </w:p>
    <w:p w:rsidR="00000000" w:rsidDel="00000000" w:rsidP="00000000" w:rsidRDefault="00000000" w:rsidRPr="00000000" w14:paraId="0000001E">
      <w:pPr>
        <w:spacing w:after="160"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Contribuyente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contribuyente (registrado o anónimo) debe poder subir nuevos hechos a través de un formulario que permita adjuntar título, descripción, categoría, ubicación, fecha, y multimedia.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contribuyente registrado debe poder editar los hechos que haya creado, dentro de un plazo de 7 días.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contribuyente debe poder generar solicitudes de eliminación de hechos existentes.</w:t>
      </w:r>
    </w:p>
    <w:p w:rsidR="00000000" w:rsidDel="00000000" w:rsidP="00000000" w:rsidRDefault="00000000" w:rsidRPr="00000000" w14:paraId="00000022">
      <w:pPr>
        <w:spacing w:after="160"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acceder a un panel de control con resumen de actividad (hechos, fuentes, solicitudes de eliminación).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crear, editar y eliminar colecciones.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configurar fuentes (estáticas, dinámica y proxy) asociadas a una colección.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configurar el algoritmo de consenso para cada colección.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aprobar, rechazar o aceptar con modificaciones los hechos subidos por contribuyentes.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aprobar o rechazar solicitudes de eliminación de hechos.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60" w:line="276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administrador debe poder importar hechos desde archivos CSV con más de 10.000 entradas.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spacing w:after="80" w:before="360" w:line="276" w:lineRule="auto"/>
        <w:jc w:val="both"/>
        <w:rPr>
          <w:i w:val="1"/>
          <w:color w:val="073763"/>
          <w:sz w:val="26"/>
          <w:szCs w:val="26"/>
        </w:rPr>
      </w:pPr>
      <w:bookmarkStart w:colFirst="0" w:colLast="0" w:name="_f9rhco3yopmd" w:id="4"/>
      <w:bookmarkEnd w:id="4"/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Entregables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Maquetado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de las interfaces de usuario requeridas.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76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Implementación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en HTML de las interfaces de usuario con aplicación de estilos, considerando la navegabilidad entres las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spacing w:after="80" w:before="360" w:line="276" w:lineRule="auto"/>
        <w:jc w:val="both"/>
        <w:rPr>
          <w:i w:val="1"/>
          <w:color w:val="073763"/>
          <w:sz w:val="26"/>
          <w:szCs w:val="26"/>
        </w:rPr>
      </w:pPr>
      <w:bookmarkStart w:colFirst="0" w:colLast="0" w:name="_oeul6owhchg5" w:id="5"/>
      <w:bookmarkEnd w:id="5"/>
      <w:r w:rsidDel="00000000" w:rsidR="00000000" w:rsidRPr="00000000">
        <w:rPr>
          <w:i w:val="1"/>
          <w:color w:val="073763"/>
          <w:sz w:val="26"/>
          <w:szCs w:val="26"/>
          <w:rtl w:val="0"/>
        </w:rPr>
        <w:t xml:space="preserve">Consideraciones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UI orientada a la usabilidad: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 interfaz de usuario debe ser diseñada bajo principios de usabilidad heurística, priorizando una curva de aprendizaje mínima para usuarios sin experiencia previa.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Arquitectura de navegación optimizada: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debe implementar un sistema de rutas y jerarquías que permita acceder a funcionalidades clave con una profundidad de navegación máxima de tres niveles.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Familiaridad del diseño: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diseño debe adherirse 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design patterns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establecidos en sistemas similares (por ejemplo: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y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Human Interface Guidelines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 para aprovechar modelos mentales existentes.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Soporte de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microcopy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 ayudas visuales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Los flujos críticos deben incluir etiquetas,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tooltips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placeholders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onboarding hints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faciliten el entendimiento funcional del sistema.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Gestión de estados e interacciones: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Toda acción del usuario debe estar acompañada por notificaciones no intrusivas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toasts, modals, banners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que informen resultados o errores.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Indicadores asincrónicos: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deben renderizar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loaders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skeleton screens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spinners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procesos que impliquen latencias perceptibles por parte del usuario (mayores a 300ms).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Layout adaptable (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responsive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 UI debe implementarse utilizando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media queries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flexbox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sistemas de grillas que garanticen adaptabilidad fluida entre breakpoints móviles, tablet y desktop.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Integridad funcional cross-device: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Todos los componentes interactivos deben permanecer accesibles y operables sin distorsión o superposición, independientemente del tamaño o resolución de pantalla.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Cumplimiento de normas WCAG: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deben seguir las Web Content Accessibility Guidelines (mínimo nivel AA), incluyendo soporte ARIA, foco visible y estructuras semánticas HTML correctas.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Interacción móvil optimizada: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Todos los elementos clickeables deben respetar una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hit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área mínima de 48x48px, según recomendaciones de accesibilidad en entornos táctiles.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Estilo visual unificado: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 diseño debe regirse por un sistema que asegure coherencia visual en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tokens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diseño (colores, tipografías, espaciados y bordes).</w:t>
      </w:r>
    </w:p>
    <w:p w:rsidR="00000000" w:rsidDel="00000000" w:rsidP="00000000" w:rsidRDefault="00000000" w:rsidRPr="00000000" w14:paraId="0000003A">
      <w:pPr>
        <w:pStyle w:val="Subtitle"/>
        <w:spacing w:after="80" w:before="360" w:line="276" w:lineRule="auto"/>
        <w:jc w:val="both"/>
        <w:rPr>
          <w:rFonts w:ascii="Roboto" w:cs="Roboto" w:eastAsia="Roboto" w:hAnsi="Roboto"/>
          <w:i w:val="1"/>
        </w:rPr>
      </w:pPr>
      <w:bookmarkStart w:colFirst="0" w:colLast="0" w:name="_kwvi15fipjwb" w:id="6"/>
      <w:bookmarkEnd w:id="6"/>
      <w:r w:rsidDel="00000000" w:rsidR="00000000" w:rsidRPr="00000000">
        <w:rPr>
          <w:rFonts w:ascii="Roboto" w:cs="Roboto" w:eastAsia="Roboto" w:hAnsi="Roboto"/>
          <w:i w:val="1"/>
          <w:color w:val="073763"/>
          <w:sz w:val="26"/>
          <w:szCs w:val="26"/>
          <w:rtl w:val="0"/>
        </w:rPr>
        <w:t xml:space="preserve">Links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Diseño y Maquetado Web - Parte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Diseño y Maquetado Web - Parte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Seminario 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Heurísticas de Nielsen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13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Laws of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i w:val="1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u w:val="single"/>
            <w:rtl w:val="0"/>
          </w:rPr>
          <w:t xml:space="preserve">Web Content Accessibility Guidelines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El término landing page significa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página de aterrizaje o de destino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 misión es ser el lugar donde “aterrizan” los usuarios luego de interactuar con una campaña de atracción que los lleva a la plataforma web.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tabs>
        <w:tab w:val="center" w:leader="none" w:pos="4252"/>
        <w:tab w:val="right" w:leader="none" w:pos="8504"/>
      </w:tabs>
      <w:spacing w:line="240" w:lineRule="auto"/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ab/>
      <w:tab/>
      <w:t xml:space="preserve">Trabajo Práctico Anual 2025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-238124</wp:posOffset>
          </wp:positionV>
          <wp:extent cx="2275799" cy="453375"/>
          <wp:effectExtent b="0" l="0" r="0" t="0"/>
          <wp:wrapNone/>
          <wp:docPr descr="diseño de sistemas de información.png" id="1" name="image1.png"/>
          <a:graphic>
            <a:graphicData uri="http://schemas.openxmlformats.org/drawingml/2006/picture">
              <pic:pic>
                <pic:nvPicPr>
                  <pic:cNvPr descr="diseño de sistemas de informació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5799" cy="45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tabs>
        <w:tab w:val="center" w:leader="none" w:pos="4252"/>
        <w:tab w:val="right" w:leader="none" w:pos="8504"/>
      </w:tabs>
      <w:spacing w:line="240" w:lineRule="auto"/>
      <w:jc w:val="both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0DKuN0k0Ttmfbajk_nFrgJz4EBqmwDkW/view?usp=drive_link" TargetMode="External"/><Relationship Id="rId10" Type="http://schemas.openxmlformats.org/officeDocument/2006/relationships/hyperlink" Target="https://drive.google.com/file/d/1CCSOzI6MzzIbrChUN-oy-HcjVaYrqaYX/view" TargetMode="External"/><Relationship Id="rId13" Type="http://schemas.openxmlformats.org/officeDocument/2006/relationships/hyperlink" Target="https://lawsofux.com/es/" TargetMode="External"/><Relationship Id="rId12" Type="http://schemas.openxmlformats.org/officeDocument/2006/relationships/hyperlink" Target="https://www.uifrommars.com/10-reglas-heuristicas-como-aplicarl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Y4qxfL_2kYGCYKo68LMqd89Qx2ueCTbM/view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w3.org/TR/WCAG21/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2.material.io/components" TargetMode="External"/><Relationship Id="rId8" Type="http://schemas.openxmlformats.org/officeDocument/2006/relationships/hyperlink" Target="https://developer.apple.com/design/human-interface-guidelin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