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0CA9A" w14:textId="77777777" w:rsidR="00A81A90" w:rsidRPr="00A81A90" w:rsidRDefault="00A81A90" w:rsidP="00A81A90">
      <w:pPr>
        <w:jc w:val="center"/>
        <w:rPr>
          <w:rFonts w:ascii="Arial" w:hAnsi="Arial" w:cs="Arial"/>
          <w:b/>
          <w:sz w:val="22"/>
        </w:rPr>
      </w:pPr>
      <w:bookmarkStart w:id="0" w:name="_Hlk47084510"/>
      <w:bookmarkEnd w:id="0"/>
      <w:r w:rsidRPr="00A81A90">
        <w:rPr>
          <w:rFonts w:ascii="Arial" w:hAnsi="Arial" w:cs="Arial"/>
          <w:b/>
          <w:sz w:val="22"/>
        </w:rPr>
        <w:t>Universidad de Cuenca</w:t>
      </w:r>
    </w:p>
    <w:p w14:paraId="0AE98031" w14:textId="77777777" w:rsidR="00A81A90" w:rsidRPr="00A81A90" w:rsidRDefault="00A81A90" w:rsidP="00A81A90">
      <w:pPr>
        <w:spacing w:before="240"/>
        <w:jc w:val="center"/>
        <w:rPr>
          <w:rFonts w:ascii="Arial" w:hAnsi="Arial" w:cs="Arial"/>
          <w:b/>
          <w:sz w:val="22"/>
        </w:rPr>
      </w:pPr>
      <w:r w:rsidRPr="00A81A90">
        <w:rPr>
          <w:rFonts w:ascii="Arial" w:hAnsi="Arial" w:cs="Arial"/>
          <w:b/>
          <w:sz w:val="22"/>
        </w:rPr>
        <w:t>Facultad de Ciencias Económicas y Administrativas</w:t>
      </w:r>
    </w:p>
    <w:p w14:paraId="3AE79039" w14:textId="77777777" w:rsidR="00A81A90" w:rsidRPr="00A81A90" w:rsidRDefault="00A81A90" w:rsidP="00A81A90">
      <w:pPr>
        <w:spacing w:before="240"/>
        <w:jc w:val="center"/>
        <w:rPr>
          <w:rFonts w:ascii="Arial" w:hAnsi="Arial" w:cs="Arial"/>
          <w:b/>
          <w:sz w:val="22"/>
        </w:rPr>
      </w:pPr>
      <w:r w:rsidRPr="00A81A90">
        <w:rPr>
          <w:rFonts w:ascii="Arial" w:hAnsi="Arial" w:cs="Arial"/>
          <w:b/>
          <w:sz w:val="22"/>
        </w:rPr>
        <w:t>Escuela de Economía</w:t>
      </w:r>
    </w:p>
    <w:p w14:paraId="6094ABED" w14:textId="77777777" w:rsidR="00A81A90" w:rsidRPr="00A81A90" w:rsidRDefault="00A81A90" w:rsidP="00A81A90">
      <w:pPr>
        <w:jc w:val="center"/>
        <w:rPr>
          <w:rFonts w:ascii="Arial" w:hAnsi="Arial" w:cs="Arial"/>
          <w:noProof/>
          <w:sz w:val="22"/>
          <w:lang w:val="es-MX" w:eastAsia="es-MX"/>
        </w:rPr>
      </w:pPr>
      <w:r w:rsidRPr="00A81A90">
        <w:rPr>
          <w:rFonts w:ascii="Arial" w:hAnsi="Arial" w:cs="Arial"/>
          <w:noProof/>
          <w:sz w:val="22"/>
        </w:rPr>
        <w:drawing>
          <wp:inline distT="0" distB="0" distL="0" distR="0" wp14:anchorId="3C996D22" wp14:editId="64FC94EE">
            <wp:extent cx="1864360" cy="15319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1017" cy="1537386"/>
                    </a:xfrm>
                    <a:prstGeom prst="rect">
                      <a:avLst/>
                    </a:prstGeom>
                    <a:noFill/>
                    <a:ln>
                      <a:noFill/>
                    </a:ln>
                  </pic:spPr>
                </pic:pic>
              </a:graphicData>
            </a:graphic>
          </wp:inline>
        </w:drawing>
      </w:r>
    </w:p>
    <w:p w14:paraId="42949F67" w14:textId="77777777" w:rsidR="00A81A90" w:rsidRPr="00A81A90" w:rsidRDefault="00A81A90" w:rsidP="00A81A90">
      <w:pPr>
        <w:rPr>
          <w:rFonts w:ascii="Arial" w:hAnsi="Arial" w:cs="Arial"/>
          <w:sz w:val="22"/>
        </w:rPr>
      </w:pPr>
    </w:p>
    <w:p w14:paraId="5AB4195E" w14:textId="77777777" w:rsidR="00A81A90" w:rsidRPr="006E1519" w:rsidRDefault="00A81A90" w:rsidP="006E1519">
      <w:pPr>
        <w:jc w:val="center"/>
        <w:rPr>
          <w:b/>
          <w:bCs/>
          <w:color w:val="000000" w:themeColor="text1"/>
        </w:rPr>
      </w:pPr>
      <w:r w:rsidRPr="006E1519">
        <w:rPr>
          <w:b/>
          <w:bCs/>
        </w:rPr>
        <w:t>PRONÓSTICO DEL PRECIO DE LA ACCIÓN DE LA EMPRESA NORTEAMERICANA PFIZER INC. CONSIDERANDO EL PERÍODO ENERO- 2010 A FEBRERO-2021</w:t>
      </w:r>
      <w:r w:rsidRPr="006E1519">
        <w:rPr>
          <w:b/>
          <w:bCs/>
          <w:color w:val="000000" w:themeColor="text1"/>
        </w:rPr>
        <w:t>, MEDIANTE EL MODELO ARIMA Y SARIMA.</w:t>
      </w:r>
    </w:p>
    <w:p w14:paraId="4A3E1B04" w14:textId="77777777" w:rsidR="00A81A90" w:rsidRPr="00A81A90" w:rsidRDefault="00A81A90" w:rsidP="00A81A90">
      <w:pPr>
        <w:jc w:val="center"/>
        <w:rPr>
          <w:rFonts w:ascii="Arial" w:hAnsi="Arial" w:cs="Arial"/>
          <w:b/>
          <w:sz w:val="22"/>
        </w:rPr>
      </w:pPr>
    </w:p>
    <w:p w14:paraId="4B9F498F" w14:textId="77777777" w:rsidR="00A81A90" w:rsidRPr="006E1519" w:rsidRDefault="00A81A90" w:rsidP="006E1519">
      <w:pPr>
        <w:jc w:val="center"/>
        <w:rPr>
          <w:b/>
          <w:bCs/>
        </w:rPr>
      </w:pPr>
      <w:r w:rsidRPr="006E1519">
        <w:rPr>
          <w:b/>
          <w:bCs/>
        </w:rPr>
        <w:t>Autores:</w:t>
      </w:r>
    </w:p>
    <w:p w14:paraId="38D5DC60" w14:textId="77777777" w:rsidR="00A81A90" w:rsidRPr="00A81A90" w:rsidRDefault="00A81A90" w:rsidP="006E1519">
      <w:pPr>
        <w:jc w:val="center"/>
      </w:pPr>
      <w:r w:rsidRPr="00A81A90">
        <w:t>Albán Anguisaca Jessenia Elizabeth</w:t>
      </w:r>
    </w:p>
    <w:p w14:paraId="7F741827" w14:textId="77777777" w:rsidR="00A81A90" w:rsidRPr="00A81A90" w:rsidRDefault="00A81A90" w:rsidP="006E1519">
      <w:pPr>
        <w:jc w:val="center"/>
      </w:pPr>
      <w:r w:rsidRPr="00A81A90">
        <w:t>Heras Vera Wilmer Mateo</w:t>
      </w:r>
    </w:p>
    <w:p w14:paraId="23CF82BC" w14:textId="31A47197" w:rsidR="00A81A90" w:rsidRPr="00A81A90" w:rsidRDefault="00A81A90" w:rsidP="006E1519">
      <w:pPr>
        <w:jc w:val="center"/>
      </w:pPr>
      <w:r w:rsidRPr="00A81A90">
        <w:t>Quito Cambisaca Luis Xavier</w:t>
      </w:r>
    </w:p>
    <w:p w14:paraId="6AD735CB" w14:textId="77777777" w:rsidR="00A81A90" w:rsidRPr="00A81A90" w:rsidRDefault="00A81A90" w:rsidP="006E1519">
      <w:pPr>
        <w:jc w:val="center"/>
      </w:pPr>
      <w:r w:rsidRPr="00A81A90">
        <w:t>Tamayo Webster Christian Andrés</w:t>
      </w:r>
    </w:p>
    <w:p w14:paraId="5D37A23B" w14:textId="77777777" w:rsidR="00A81A90" w:rsidRPr="00A81A90" w:rsidRDefault="00A81A90" w:rsidP="006E1519">
      <w:pPr>
        <w:jc w:val="center"/>
      </w:pPr>
    </w:p>
    <w:p w14:paraId="3A57AA72" w14:textId="77777777" w:rsidR="00A81A90" w:rsidRPr="006E1519" w:rsidRDefault="00A81A90" w:rsidP="006E1519">
      <w:pPr>
        <w:jc w:val="center"/>
        <w:rPr>
          <w:b/>
          <w:bCs/>
        </w:rPr>
      </w:pPr>
      <w:r w:rsidRPr="006E1519">
        <w:rPr>
          <w:b/>
          <w:bCs/>
        </w:rPr>
        <w:t>Curso:</w:t>
      </w:r>
    </w:p>
    <w:p w14:paraId="5032984D" w14:textId="78676541" w:rsidR="00A81A90" w:rsidRPr="00A81A90" w:rsidRDefault="00A81A90" w:rsidP="006E1519">
      <w:pPr>
        <w:jc w:val="center"/>
      </w:pPr>
      <w:r w:rsidRPr="00A81A90">
        <w:t>EC 07– 01</w:t>
      </w:r>
    </w:p>
    <w:p w14:paraId="4009A75A" w14:textId="77777777" w:rsidR="00A81A90" w:rsidRPr="00A81A90" w:rsidRDefault="00A81A90" w:rsidP="006E1519">
      <w:pPr>
        <w:jc w:val="center"/>
      </w:pPr>
    </w:p>
    <w:p w14:paraId="4D65F851" w14:textId="77777777" w:rsidR="00A81A90" w:rsidRPr="006E1519" w:rsidRDefault="00A81A90" w:rsidP="006E1519">
      <w:pPr>
        <w:jc w:val="center"/>
        <w:rPr>
          <w:b/>
          <w:bCs/>
        </w:rPr>
      </w:pPr>
      <w:r w:rsidRPr="006E1519">
        <w:rPr>
          <w:b/>
          <w:bCs/>
        </w:rPr>
        <w:t>Materia:</w:t>
      </w:r>
    </w:p>
    <w:p w14:paraId="5BF42659" w14:textId="77777777" w:rsidR="00A81A90" w:rsidRPr="00A81A90" w:rsidRDefault="00A81A90" w:rsidP="006E1519">
      <w:pPr>
        <w:jc w:val="center"/>
      </w:pPr>
      <w:r w:rsidRPr="00A81A90">
        <w:t>Econometría III</w:t>
      </w:r>
    </w:p>
    <w:p w14:paraId="407005E4" w14:textId="77777777" w:rsidR="00A81A90" w:rsidRPr="00A81A90" w:rsidRDefault="00A81A90" w:rsidP="006E1519">
      <w:pPr>
        <w:jc w:val="center"/>
      </w:pPr>
    </w:p>
    <w:p w14:paraId="249EC256" w14:textId="77777777" w:rsidR="00A81A90" w:rsidRPr="006E1519" w:rsidRDefault="00A81A90" w:rsidP="006E1519">
      <w:pPr>
        <w:jc w:val="center"/>
        <w:rPr>
          <w:b/>
          <w:bCs/>
        </w:rPr>
      </w:pPr>
      <w:r w:rsidRPr="006E1519">
        <w:rPr>
          <w:b/>
          <w:bCs/>
        </w:rPr>
        <w:t>Docente:</w:t>
      </w:r>
    </w:p>
    <w:p w14:paraId="79923428" w14:textId="77777777" w:rsidR="00A81A90" w:rsidRPr="00A81A90" w:rsidRDefault="00A81A90" w:rsidP="006E1519">
      <w:pPr>
        <w:jc w:val="center"/>
      </w:pPr>
      <w:r w:rsidRPr="00A81A90">
        <w:t>Econ. Juan Pablo Sarmiento</w:t>
      </w:r>
    </w:p>
    <w:p w14:paraId="78E7D757" w14:textId="77777777" w:rsidR="00A81A90" w:rsidRPr="00A81A90" w:rsidRDefault="00A81A90" w:rsidP="006E1519">
      <w:pPr>
        <w:jc w:val="center"/>
      </w:pPr>
    </w:p>
    <w:p w14:paraId="713D2BB3" w14:textId="77777777" w:rsidR="00A81A90" w:rsidRPr="00A81A90" w:rsidRDefault="00A81A90" w:rsidP="006E1519">
      <w:pPr>
        <w:jc w:val="center"/>
      </w:pPr>
      <w:r w:rsidRPr="00A81A90">
        <w:t>Cuenca, 6 de Febrero de 2021</w:t>
      </w:r>
    </w:p>
    <w:p w14:paraId="52C25F0C" w14:textId="77777777" w:rsidR="00A81A90" w:rsidRPr="00A81A90" w:rsidRDefault="00A81A90" w:rsidP="00A81A90">
      <w:pPr>
        <w:spacing w:after="160"/>
        <w:rPr>
          <w:rFonts w:ascii="Arial" w:hAnsi="Arial" w:cs="Arial"/>
          <w:sz w:val="22"/>
        </w:rPr>
      </w:pPr>
    </w:p>
    <w:p w14:paraId="05C5344B" w14:textId="77777777" w:rsidR="00A81A90" w:rsidRPr="00A81A90" w:rsidRDefault="00A81A90" w:rsidP="00A81A90">
      <w:pPr>
        <w:spacing w:after="160"/>
        <w:rPr>
          <w:rFonts w:ascii="Arial" w:hAnsi="Arial" w:cs="Arial"/>
          <w:sz w:val="22"/>
        </w:rPr>
      </w:pPr>
    </w:p>
    <w:p w14:paraId="7973C80E" w14:textId="77777777" w:rsidR="00A81A90" w:rsidRPr="00A81A90" w:rsidRDefault="00A81A90" w:rsidP="00A81A90">
      <w:pPr>
        <w:spacing w:after="160"/>
        <w:rPr>
          <w:rFonts w:ascii="Arial" w:hAnsi="Arial" w:cs="Arial"/>
          <w:sz w:val="22"/>
        </w:rPr>
      </w:pPr>
    </w:p>
    <w:p w14:paraId="69CEC4BC" w14:textId="75F778D6" w:rsidR="00A81A90" w:rsidRPr="00A81A90" w:rsidRDefault="00A81A90" w:rsidP="00A81A90">
      <w:pPr>
        <w:jc w:val="center"/>
        <w:rPr>
          <w:b/>
          <w:bCs/>
        </w:rPr>
      </w:pPr>
      <w:r w:rsidRPr="00A81A90">
        <w:rPr>
          <w:b/>
          <w:bCs/>
        </w:rPr>
        <w:t>PRONÓSTICO DEL PRECIO DE LA ACCIÓN DE LA EMPRESA NORTEAMERICANA PFIZER INC. CONSIDERANDO EL PERÍODO ENERO-2010 A FEBRERO-2021, MEDIANTE EL MODELO ARIMA Y SARIMA.</w:t>
      </w:r>
    </w:p>
    <w:p w14:paraId="3C5E3FAE" w14:textId="77777777" w:rsidR="00A81A90" w:rsidRPr="00A81A90" w:rsidRDefault="00A81A90" w:rsidP="00A81A90">
      <w:pPr>
        <w:pStyle w:val="Prrafodelista"/>
        <w:rPr>
          <w:rFonts w:ascii="Arial" w:hAnsi="Arial" w:cs="Arial"/>
          <w:color w:val="000000" w:themeColor="text1"/>
        </w:rPr>
      </w:pPr>
    </w:p>
    <w:p w14:paraId="06BDD8D2" w14:textId="617379EC" w:rsidR="00A81A90" w:rsidRPr="00A81A90" w:rsidRDefault="00775752" w:rsidP="00A81A90">
      <w:pPr>
        <w:pStyle w:val="Ttulo1"/>
      </w:pPr>
      <w:r w:rsidRPr="00A81A90">
        <w:t>RESUMEN</w:t>
      </w:r>
    </w:p>
    <w:p w14:paraId="44ABD1F5" w14:textId="09B4CD7E" w:rsidR="007604A4" w:rsidRDefault="007604A4" w:rsidP="007604A4">
      <w:r>
        <w:t>En la presente investigación se presenta una aplicación de la metodología desarrollada por Box y Jenkins para pronosticar el precio de las acciones de una de las empresas líderes en la fabricación de la vacuna del SARS-CoV-2, Pfizer INC. El periodo de análisis fue desde enero 2010 hasta febrero 2021 con datos mensuales. Se analizaron los modelos ARIMA y SARIMA siendo el primero el que mejor se ajusta la naturaleza de los datos.</w:t>
      </w:r>
    </w:p>
    <w:p w14:paraId="783C15BD" w14:textId="77777777" w:rsidR="001C6D0B" w:rsidRDefault="001C6D0B" w:rsidP="007604A4"/>
    <w:p w14:paraId="5278BB2D" w14:textId="374DD32F" w:rsidR="00775752" w:rsidRDefault="007604A4" w:rsidP="007604A4">
      <w:r>
        <w:t xml:space="preserve"> Los pronósticos obtenidos se ajustan a la variación esperada (positiva) obteniendo que el precio</w:t>
      </w:r>
      <w:r w:rsidR="001C6D0B">
        <w:t xml:space="preserve"> de cierre</w:t>
      </w:r>
      <w:r>
        <w:t xml:space="preserve"> de las acciones crecerá en el próximo semestre, con un máximo en junio de </w:t>
      </w:r>
      <w:r w:rsidR="001C6D0B">
        <w:t xml:space="preserve">$ </w:t>
      </w:r>
      <w:r>
        <w:t>38.26 por acción.</w:t>
      </w:r>
    </w:p>
    <w:p w14:paraId="3FAB7583" w14:textId="77777777" w:rsidR="001C6D0B" w:rsidRDefault="001C6D0B" w:rsidP="007604A4"/>
    <w:p w14:paraId="4561E2A8" w14:textId="36A6C7DA" w:rsidR="00775752" w:rsidRDefault="00775752" w:rsidP="00775752">
      <w:r w:rsidRPr="001C6D0B">
        <w:rPr>
          <w:b/>
          <w:bCs/>
        </w:rPr>
        <w:t>Palabras clave:</w:t>
      </w:r>
      <w:r>
        <w:t xml:space="preserve"> ARIMA, SARIMA, </w:t>
      </w:r>
      <w:r w:rsidR="001C6D0B">
        <w:t>precio de cierre</w:t>
      </w:r>
      <w:r>
        <w:t>, pronóstico</w:t>
      </w:r>
      <w:r w:rsidR="001C6D0B">
        <w:t>, Pfizer</w:t>
      </w:r>
      <w:r>
        <w:t>.</w:t>
      </w:r>
    </w:p>
    <w:p w14:paraId="67C82C14" w14:textId="77777777" w:rsidR="00EE739C" w:rsidRPr="00A81A90" w:rsidRDefault="00EE739C" w:rsidP="00EE739C"/>
    <w:p w14:paraId="2457E54A" w14:textId="3375DF89" w:rsidR="00A81A90" w:rsidRPr="00A81A90" w:rsidRDefault="00775752" w:rsidP="00A81A90">
      <w:pPr>
        <w:pStyle w:val="Ttulo1"/>
      </w:pPr>
      <w:r w:rsidRPr="00A81A90">
        <w:t>INTRODUCCIÓN</w:t>
      </w:r>
    </w:p>
    <w:p w14:paraId="5B041B94" w14:textId="77777777" w:rsidR="00A81A90" w:rsidRPr="00A81A90" w:rsidRDefault="00A81A90" w:rsidP="00A81A90">
      <w:r w:rsidRPr="00A81A90">
        <w:t>Actualmente, el ítem de mayor cuestionamiento a nivel mundial es la fabricación</w:t>
      </w:r>
      <w:r w:rsidRPr="00A81A90">
        <w:rPr>
          <w:rStyle w:val="Refdenotaalpie"/>
          <w:rFonts w:ascii="Arial" w:hAnsi="Arial" w:cs="Arial"/>
          <w:color w:val="000000" w:themeColor="text1"/>
        </w:rPr>
        <w:footnoteReference w:id="1"/>
      </w:r>
      <w:r w:rsidRPr="00A81A90">
        <w:t xml:space="preserve">, venta y distribución de vacunas que puedan hacer frente al virus conocido como SARS-CoV-2, el cual según hasta el 26 de enero del 2021 ha cobrado más de 2,15 millones de muertes en todo el mundo. Varias empresas e incluso universidades han elaborado y continúan mejorando la vacuna. Según </w:t>
      </w:r>
      <w:sdt>
        <w:sdtPr>
          <w:id w:val="1983737882"/>
          <w:citation/>
        </w:sdtPr>
        <w:sdtContent>
          <w:r w:rsidRPr="00A81A90">
            <w:fldChar w:fldCharType="begin"/>
          </w:r>
          <w:r w:rsidRPr="00A81A90">
            <w:instrText xml:space="preserve"> CITATION Per20 \l 12298 </w:instrText>
          </w:r>
          <w:r w:rsidRPr="00A81A90">
            <w:fldChar w:fldCharType="separate"/>
          </w:r>
          <w:r w:rsidRPr="00A81A90">
            <w:rPr>
              <w:noProof/>
            </w:rPr>
            <w:t>(Simões, 2020)</w:t>
          </w:r>
          <w:r w:rsidRPr="00A81A90">
            <w:fldChar w:fldCharType="end"/>
          </w:r>
        </w:sdtContent>
      </w:sdt>
      <w:r w:rsidRPr="00A81A90">
        <w:t xml:space="preserve">  unas de esas compañías son: Pfizer Inc</w:t>
      </w:r>
      <w:r w:rsidRPr="00A81A90">
        <w:rPr>
          <w:rStyle w:val="Textoennegrita"/>
          <w:rFonts w:ascii="Arial" w:hAnsi="Arial" w:cs="Arial"/>
          <w:color w:val="000000" w:themeColor="text1"/>
          <w:shd w:val="clear" w:color="auto" w:fill="FFFFFF"/>
        </w:rPr>
        <w:t xml:space="preserve"> </w:t>
      </w:r>
      <w:r w:rsidRPr="00A81A90">
        <w:rPr>
          <w:rStyle w:val="Textoennegrita"/>
          <w:rFonts w:ascii="Arial" w:hAnsi="Arial" w:cs="Arial"/>
          <w:b w:val="0"/>
          <w:color w:val="000000" w:themeColor="text1"/>
          <w:shd w:val="clear" w:color="auto" w:fill="FFFFFF"/>
        </w:rPr>
        <w:t>(PFE)</w:t>
      </w:r>
      <w:r w:rsidRPr="00A81A90">
        <w:t xml:space="preserve">, BioNTech </w:t>
      </w:r>
      <w:r w:rsidRPr="00A81A90">
        <w:rPr>
          <w:rStyle w:val="Textoennegrita"/>
          <w:rFonts w:ascii="Arial" w:hAnsi="Arial" w:cs="Arial"/>
          <w:b w:val="0"/>
          <w:color w:val="000000" w:themeColor="text1"/>
          <w:shd w:val="clear" w:color="auto" w:fill="FFFFFF"/>
        </w:rPr>
        <w:t> (BNTX)</w:t>
      </w:r>
      <w:r w:rsidRPr="00A81A90">
        <w:t>, Moderna (</w:t>
      </w:r>
      <w:r w:rsidRPr="00A81A90">
        <w:rPr>
          <w:rStyle w:val="Textoennegrita"/>
          <w:rFonts w:ascii="Arial" w:hAnsi="Arial" w:cs="Arial"/>
          <w:b w:val="0"/>
          <w:color w:val="000000" w:themeColor="text1"/>
          <w:shd w:val="clear" w:color="auto" w:fill="FFFFFF"/>
        </w:rPr>
        <w:t>MRNA)</w:t>
      </w:r>
      <w:r w:rsidRPr="00A81A90">
        <w:t xml:space="preserve">, AstraZeneca </w:t>
      </w:r>
      <w:r w:rsidRPr="00A81A90">
        <w:rPr>
          <w:rStyle w:val="Textoennegrita"/>
          <w:rFonts w:ascii="Arial" w:hAnsi="Arial" w:cs="Arial"/>
          <w:b w:val="0"/>
          <w:color w:val="000000" w:themeColor="text1"/>
          <w:shd w:val="clear" w:color="auto" w:fill="FFFFFF"/>
        </w:rPr>
        <w:t> (AZN)</w:t>
      </w:r>
      <w:r w:rsidRPr="00A81A90">
        <w:t xml:space="preserve">, University of Oxford, Johnson </w:t>
      </w:r>
      <w:r w:rsidRPr="00A81A90">
        <w:rPr>
          <w:shd w:val="clear" w:color="auto" w:fill="FFFFFF"/>
        </w:rPr>
        <w:t>&amp;</w:t>
      </w:r>
      <w:r w:rsidRPr="00A81A90">
        <w:t xml:space="preserve"> Johnson </w:t>
      </w:r>
      <w:r w:rsidRPr="00A81A90">
        <w:rPr>
          <w:rStyle w:val="Textoennegrita"/>
          <w:rFonts w:ascii="Arial" w:hAnsi="Arial" w:cs="Arial"/>
          <w:b w:val="0"/>
          <w:color w:val="000000" w:themeColor="text1"/>
          <w:shd w:val="clear" w:color="auto" w:fill="FFFFFF"/>
        </w:rPr>
        <w:t>(JNJ)</w:t>
      </w:r>
      <w:r w:rsidRPr="00A81A90">
        <w:t>,</w:t>
      </w:r>
      <w:r w:rsidRPr="00A81A90">
        <w:rPr>
          <w:shd w:val="clear" w:color="auto" w:fill="FFFFFF"/>
        </w:rPr>
        <w:t xml:space="preserve"> </w:t>
      </w:r>
      <w:r w:rsidRPr="00A81A90">
        <w:rPr>
          <w:rStyle w:val="Textoennegrita"/>
          <w:rFonts w:ascii="Arial" w:hAnsi="Arial" w:cs="Arial"/>
          <w:b w:val="0"/>
          <w:color w:val="000000" w:themeColor="text1"/>
          <w:shd w:val="clear" w:color="auto" w:fill="FFFFFF"/>
        </w:rPr>
        <w:t xml:space="preserve">Fosun Pharma, </w:t>
      </w:r>
      <w:r w:rsidRPr="00A81A90">
        <w:t xml:space="preserve"> entre otras. Según Mike Ryran director de la Organización Mundial de la Salud (OMS) al 13 de enero del 2021, 28 millones de personas se han vacunado en 46 países del mundo.</w:t>
      </w:r>
    </w:p>
    <w:p w14:paraId="47A2D27C" w14:textId="18911984" w:rsidR="00A81A90" w:rsidRDefault="00A81A90" w:rsidP="00A81A90">
      <w:r w:rsidRPr="00A81A90">
        <w:lastRenderedPageBreak/>
        <w:t xml:space="preserve">Así mismo, algunos gobiernos se han comprometido en apoyar e invertir en los proyectos de estas empresas, por ejemplo el </w:t>
      </w:r>
      <w:r w:rsidRPr="00A81A90">
        <w:rPr>
          <w:shd w:val="clear" w:color="auto" w:fill="FFFFFF"/>
        </w:rPr>
        <w:t xml:space="preserve">Gobierno de los Estados Unidos dio 1.000 millones de dólares a AZN y PFE </w:t>
      </w:r>
      <w:sdt>
        <w:sdtPr>
          <w:id w:val="2015259180"/>
          <w:citation/>
        </w:sdtPr>
        <w:sdtContent>
          <w:r w:rsidRPr="00A81A90">
            <w:fldChar w:fldCharType="begin"/>
          </w:r>
          <w:r w:rsidRPr="00A81A90">
            <w:instrText xml:space="preserve"> CITATION Per20 \l 12298 </w:instrText>
          </w:r>
          <w:r w:rsidRPr="00A81A90">
            <w:fldChar w:fldCharType="separate"/>
          </w:r>
          <w:r w:rsidRPr="00A81A90">
            <w:rPr>
              <w:noProof/>
            </w:rPr>
            <w:t>(Simões, 2020)</w:t>
          </w:r>
          <w:r w:rsidRPr="00A81A90">
            <w:fldChar w:fldCharType="end"/>
          </w:r>
        </w:sdtContent>
      </w:sdt>
      <w:r w:rsidRPr="00A81A90">
        <w:t xml:space="preserve">. De igual manera, las empresas autoras de las vacunas han pactado entregar dosis de vacunas a varios países, es decir estos acuerdos de cierto modo garantizan la venta del producto.  Por lo tanto, resulta interesante analizar el futuro crecimiento/decrecimiento en ganancias y precio de acciones de estas empresas farmacéuticas, ya que agentes económicos, inversionistas y/o entendidos en la materia requieren esta información de varias empresas con el fin de invertir en alguna de estas compañías para obtener rentabilidad.   </w:t>
      </w:r>
    </w:p>
    <w:p w14:paraId="118C8C29" w14:textId="77777777" w:rsidR="00775752" w:rsidRPr="00A81A90" w:rsidRDefault="00775752" w:rsidP="00A81A90"/>
    <w:p w14:paraId="4C71B118" w14:textId="756E2230" w:rsidR="00A81A90" w:rsidRDefault="00A81A90" w:rsidP="00A81A90">
      <w:r w:rsidRPr="00A81A90">
        <w:t xml:space="preserve">Dado que las acciones de las farmacéuticas y empresas biotecnológicas que realizan clínicas de vacunas anticovid, se han disparado. Entonces, el presente análisis se enfoca en pronosticar el precio de la acción de la empresa norteamericana Pfizer Inc. para lo cual se utiliza información del precio </w:t>
      </w:r>
      <w:r w:rsidR="006E1519">
        <w:t xml:space="preserve">de </w:t>
      </w:r>
      <w:r w:rsidRPr="00A81A90">
        <w:t xml:space="preserve">cierre mensual </w:t>
      </w:r>
      <w:r w:rsidR="006E1519">
        <w:t xml:space="preserve">de </w:t>
      </w:r>
      <w:r w:rsidRPr="00A81A90">
        <w:t xml:space="preserve">la acción de esta empresa para el período enero del 2010 a </w:t>
      </w:r>
      <w:r w:rsidR="006E1519">
        <w:t>febrero</w:t>
      </w:r>
      <w:r w:rsidRPr="00A81A90">
        <w:t xml:space="preserve"> del 2021. Para realizar el pronóstico se hace uso del modelo autorregresivo integrado de media móvil (ARIMA) que es conocido como una herramientas más robusta y eficiente en el pronóstico de series de tiempo financieras; de igual manera sin descartar la presencia de un componente estacional en la serie de estudio se utiliza el modelo de media móvil integrado autorregresivo estacional (SARIMA).</w:t>
      </w:r>
    </w:p>
    <w:p w14:paraId="1D228679" w14:textId="77777777" w:rsidR="00775752" w:rsidRPr="00A81A90" w:rsidRDefault="00775752" w:rsidP="00A81A90"/>
    <w:p w14:paraId="40A3BB96" w14:textId="46E20F53" w:rsidR="00A81A90" w:rsidRDefault="00A81A90" w:rsidP="00A81A90">
      <w:r w:rsidRPr="00A81A90">
        <w:t xml:space="preserve">Esta empresa farmacéutica con más de 150 años en el mercado, tiene su sede en New York que de acuerdo a  </w:t>
      </w:r>
      <w:sdt>
        <w:sdtPr>
          <w:id w:val="-1814473534"/>
          <w:citation/>
        </w:sdtPr>
        <w:sdtContent>
          <w:r w:rsidRPr="00A81A90">
            <w:fldChar w:fldCharType="begin"/>
          </w:r>
          <w:r w:rsidRPr="00A81A90">
            <w:instrText xml:space="preserve">CITATION MarcadorDePosición1 \l 12298 </w:instrText>
          </w:r>
          <w:r w:rsidRPr="00A81A90">
            <w:fldChar w:fldCharType="separate"/>
          </w:r>
          <w:r w:rsidRPr="00A81A90">
            <w:rPr>
              <w:noProof/>
            </w:rPr>
            <w:t>(Fernández L. , 2020)</w:t>
          </w:r>
          <w:r w:rsidRPr="00A81A90">
            <w:fldChar w:fldCharType="end"/>
          </w:r>
        </w:sdtContent>
      </w:sdt>
      <w:r w:rsidRPr="00A81A90">
        <w:t xml:space="preserve"> </w:t>
      </w:r>
      <w:r w:rsidRPr="00A81A90">
        <w:rPr>
          <w:shd w:val="clear" w:color="auto" w:fill="FFFFFF"/>
        </w:rPr>
        <w:t xml:space="preserve">es una de las multinacionales con mayor volumen de ventas a nivel mundial, la misma tiene </w:t>
      </w:r>
      <w:hyperlink r:id="rId9" w:tgtFrame="_blank" w:history="1">
        <w:r w:rsidRPr="00A81A90">
          <w:rPr>
            <w:rStyle w:val="Hipervnculo"/>
            <w:rFonts w:ascii="Arial" w:hAnsi="Arial" w:cs="Arial"/>
            <w:color w:val="000000" w:themeColor="text1"/>
            <w:u w:val="none"/>
            <w:bdr w:val="none" w:sz="0" w:space="0" w:color="auto" w:frame="1"/>
            <w:shd w:val="clear" w:color="auto" w:fill="FFFFFF"/>
          </w:rPr>
          <w:t>ingresos anuales</w:t>
        </w:r>
      </w:hyperlink>
      <w:r w:rsidRPr="00A81A90">
        <w:rPr>
          <w:shd w:val="clear" w:color="auto" w:fill="FFFFFF"/>
        </w:rPr>
        <w:t xml:space="preserve"> superiores a 51.700 millones de dólares, estas entradas de dinero han aumentado dado la venta de las vacunas anticovid. Actualmente, </w:t>
      </w:r>
      <w:r w:rsidRPr="00A81A90">
        <w:t>Pfizer Inc</w:t>
      </w:r>
      <w:r w:rsidRPr="00A81A90">
        <w:rPr>
          <w:rStyle w:val="Textoennegrita"/>
          <w:rFonts w:ascii="Arial" w:hAnsi="Arial" w:cs="Arial"/>
          <w:color w:val="000000" w:themeColor="text1"/>
          <w:shd w:val="clear" w:color="auto" w:fill="FFFFFF"/>
        </w:rPr>
        <w:t xml:space="preserve"> </w:t>
      </w:r>
      <w:r w:rsidRPr="00A81A90">
        <w:rPr>
          <w:shd w:val="clear" w:color="auto" w:fill="FFFFFF"/>
        </w:rPr>
        <w:t xml:space="preserve">junto </w:t>
      </w:r>
      <w:r w:rsidRPr="00A81A90">
        <w:t>con la compañía de BioNTech desarrollan el programa llamado tozinamerán (BNT162)</w:t>
      </w:r>
      <w:r w:rsidRPr="00A81A90">
        <w:rPr>
          <w:rStyle w:val="Refdenotaalpie"/>
          <w:rFonts w:ascii="Arial" w:hAnsi="Arial" w:cs="Arial"/>
          <w:color w:val="000000" w:themeColor="text1"/>
        </w:rPr>
        <w:footnoteReference w:id="2"/>
      </w:r>
      <w:r w:rsidRPr="00A81A90">
        <w:t xml:space="preserve">, que tiene como objetivo fabricar la vacuna que prevenga la infección del COVID-19, por el momento su programa ha dado resultados de efectividad de más del 80%. </w:t>
      </w:r>
    </w:p>
    <w:p w14:paraId="6972C289" w14:textId="77777777" w:rsidR="006E1519" w:rsidRPr="00A81A90" w:rsidRDefault="006E1519" w:rsidP="00A81A90"/>
    <w:p w14:paraId="64604979" w14:textId="2A7A8BA4" w:rsidR="00A81A90" w:rsidRDefault="00A81A90" w:rsidP="00A81A90">
      <w:r w:rsidRPr="00A81A90">
        <w:lastRenderedPageBreak/>
        <w:t>Con respecto a las acciones de Pfizer Inc, su presidente y consejero delegado Albert Bourla, vendió el 62 % de sus acciones de la compañía por valor de USD 5,6 millones, de igual manera la vicepresidenta de la empresa Sally</w:t>
      </w:r>
      <w:r w:rsidRPr="00A81A90">
        <w:rPr>
          <w:spacing w:val="-2"/>
          <w:shd w:val="clear" w:color="auto" w:fill="FFFFFF"/>
        </w:rPr>
        <w:t xml:space="preserve"> Susman, vendió 43.662 títulos</w:t>
      </w:r>
      <w:r w:rsidRPr="00A81A90">
        <w:t xml:space="preserve"> en noviembre del 2020, mes que la farmacéutica anunció resultados preliminares positivos de su vacuna anticovid.  Estas gestiones muestran que aumenta la reputación y el capital social de la empresa. </w:t>
      </w:r>
    </w:p>
    <w:p w14:paraId="3A4BED3E" w14:textId="77777777" w:rsidR="006E1519" w:rsidRPr="00A81A90" w:rsidRDefault="006E1519" w:rsidP="00A81A90"/>
    <w:p w14:paraId="5CEF9AF2" w14:textId="77777777" w:rsidR="00A81A90" w:rsidRPr="00A81A90" w:rsidRDefault="00A81A90" w:rsidP="00A81A90">
      <w:r w:rsidRPr="00A81A90">
        <w:t>Finalmente, dado que esta empresa continúa trabajando en la elaboración de una vacuna más eficiente para el COVID-19, muchas empresas y gobiernos lo están apoyando. Además con el acontecimiento histórico de que su vacuna ha sido efectiva en más del 80% varios países ya han adquirido su producto, se prevé las ventas, ganancias y por ende su precio de la acción de Pfizer Inc</w:t>
      </w:r>
      <w:r w:rsidRPr="00A81A90">
        <w:rPr>
          <w:rStyle w:val="Textoennegrita"/>
          <w:rFonts w:ascii="Arial" w:hAnsi="Arial" w:cs="Arial"/>
          <w:color w:val="000000" w:themeColor="text1"/>
          <w:shd w:val="clear" w:color="auto" w:fill="FFFFFF"/>
        </w:rPr>
        <w:t xml:space="preserve"> </w:t>
      </w:r>
      <w:r w:rsidRPr="00A81A90">
        <w:t>se incrementará, es decir se comprobará si el mercado de Pfizer Inc</w:t>
      </w:r>
      <w:r w:rsidRPr="00A81A90">
        <w:rPr>
          <w:rStyle w:val="Textoennegrita"/>
          <w:rFonts w:ascii="Arial" w:hAnsi="Arial" w:cs="Arial"/>
          <w:color w:val="000000" w:themeColor="text1"/>
          <w:shd w:val="clear" w:color="auto" w:fill="FFFFFF"/>
        </w:rPr>
        <w:t xml:space="preserve"> </w:t>
      </w:r>
      <w:r w:rsidRPr="00A81A90">
        <w:t xml:space="preserve">no se comporta de acuerdo a la teoría del camino aleatorio. </w:t>
      </w:r>
      <w:r w:rsidRPr="00A81A90">
        <w:br/>
      </w:r>
    </w:p>
    <w:p w14:paraId="6F1816A5" w14:textId="53B0605C" w:rsidR="00A81A90" w:rsidRPr="00A81A90" w:rsidRDefault="00775752" w:rsidP="00A81A90">
      <w:pPr>
        <w:pStyle w:val="Ttulo1"/>
      </w:pPr>
      <w:r w:rsidRPr="00A81A90">
        <w:t>REVISIÓN DE LITERATURA</w:t>
      </w:r>
    </w:p>
    <w:p w14:paraId="5E106A0E" w14:textId="37DC7648" w:rsidR="00A81A90" w:rsidRDefault="00A81A90" w:rsidP="00A81A90">
      <w:r w:rsidRPr="00A81A90">
        <w:t xml:space="preserve">Adebiyi, Ayo &amp; Adewumi </w:t>
      </w:r>
      <w:sdt>
        <w:sdtPr>
          <w:rPr>
            <w:lang w:val="en-US"/>
          </w:rPr>
          <w:id w:val="1436952104"/>
          <w:citation/>
        </w:sdtPr>
        <w:sdtContent>
          <w:r w:rsidRPr="00A81A90">
            <w:rPr>
              <w:lang w:val="en-US"/>
            </w:rPr>
            <w:fldChar w:fldCharType="begin"/>
          </w:r>
          <w:r w:rsidRPr="00A81A90">
            <w:instrText xml:space="preserve">CITATION Ade14 \n  \t  \l 12298 </w:instrText>
          </w:r>
          <w:r w:rsidRPr="00A81A90">
            <w:rPr>
              <w:lang w:val="en-US"/>
            </w:rPr>
            <w:fldChar w:fldCharType="separate"/>
          </w:r>
          <w:r w:rsidRPr="00A81A90">
            <w:rPr>
              <w:noProof/>
            </w:rPr>
            <w:t>(2014)</w:t>
          </w:r>
          <w:r w:rsidRPr="00A81A90">
            <w:rPr>
              <w:lang w:val="en-US"/>
            </w:rPr>
            <w:fldChar w:fldCharType="end"/>
          </w:r>
        </w:sdtContent>
      </w:sdt>
      <w:r w:rsidRPr="00A81A90">
        <w:t xml:space="preserve"> en su artículo mediante un extenso proceso de construcción de un modelo predictivo de precios de acciones, utilizan el modelo ARIMA y usando los datos de los precios de las acciones de una serie de empresas como Nokia o Zenith Bank de distintos sectores empresariales y que se encuentran publicados en la Bolsa de Valores de Nueva York (NYSE) y la Bolsa de Valores de Nigeria (NSE), demostraron el potencial de los modelos ARIMA para predecir los precios de las acciones de manera satisfactoria a corto plazo, además concluyen que los modelos ARIMA son los suficientemente consistentes como para poder competir con las demás técnicas de pronóstico existentes para la predicción a corto plazo.</w:t>
      </w:r>
    </w:p>
    <w:p w14:paraId="1FB281EC" w14:textId="77777777" w:rsidR="00A81A90" w:rsidRPr="00A81A90" w:rsidRDefault="00A81A90" w:rsidP="00A81A90"/>
    <w:p w14:paraId="36C177B3" w14:textId="1DB1E9B3" w:rsidR="00A81A90" w:rsidRDefault="00A81A90" w:rsidP="00A81A90">
      <w:r w:rsidRPr="00A81A90">
        <w:t xml:space="preserve">Así mismo, Mondal, Shit &amp; Goswami </w:t>
      </w:r>
      <w:sdt>
        <w:sdtPr>
          <w:id w:val="406741646"/>
          <w:citation/>
        </w:sdtPr>
        <w:sdtContent>
          <w:r w:rsidRPr="00A81A90">
            <w:fldChar w:fldCharType="begin"/>
          </w:r>
          <w:r w:rsidRPr="00A81A90">
            <w:instrText xml:space="preserve">CITATION Gos14 \n  \t  \l 12298 </w:instrText>
          </w:r>
          <w:r w:rsidRPr="00A81A90">
            <w:fldChar w:fldCharType="separate"/>
          </w:r>
          <w:r w:rsidRPr="00A81A90">
            <w:rPr>
              <w:noProof/>
            </w:rPr>
            <w:t>(2014)</w:t>
          </w:r>
          <w:r w:rsidRPr="00A81A90">
            <w:fldChar w:fldCharType="end"/>
          </w:r>
        </w:sdtContent>
      </w:sdt>
      <w:r w:rsidRPr="00A81A90">
        <w:t xml:space="preserve"> realizaron un estudio sobre cincuenta y seis acciones de siete sectores que cotizan en la Bolsa Nacional de Valores de la India y evaluaron la precisión del modelo ARIMA para predecir los precios de las acciones, tomando en cuenta los precios de cierre del último día del mes desde abril del 2012, hasta febrero del 2014. En este caso, utilizan el </w:t>
      </w:r>
      <w:r w:rsidRPr="00A81A90">
        <w:rPr>
          <w:shd w:val="clear" w:color="auto" w:fill="FFFFFF"/>
        </w:rPr>
        <w:t>Criterio de información de Akaike</w:t>
      </w:r>
      <w:r w:rsidRPr="00A81A90">
        <w:t xml:space="preserve"> (AIC) para seleccionar el mejor modelo ARIMA. Para todos los sectores, la precisión del modelo ARIMA en la predicción de los precios de las acciones está por encima del 85%, lo que </w:t>
      </w:r>
      <w:r w:rsidRPr="00A81A90">
        <w:lastRenderedPageBreak/>
        <w:t>indica que el modelo en cuestión, ofrece una buena precisión de predicción, especialmente en el sector de bienes de consumo. Por otro lado, la precisión de las predicciones para el sector bancario y el sector del automóvil utilizando el modelo ARIMA es menor en comparación con la de otros sectores.</w:t>
      </w:r>
    </w:p>
    <w:p w14:paraId="4D5F3AB7" w14:textId="77777777" w:rsidR="00A81A90" w:rsidRPr="00A81A90" w:rsidRDefault="00A81A90" w:rsidP="00A81A90"/>
    <w:p w14:paraId="3719D4FC" w14:textId="77777777" w:rsidR="00A81A90" w:rsidRPr="00A81A90" w:rsidRDefault="00A81A90" w:rsidP="00A81A90">
      <w:r w:rsidRPr="00A81A90">
        <w:t xml:space="preserve">Arnaut-Berilo, Zaimovic &amp; Turbo </w:t>
      </w:r>
      <w:sdt>
        <w:sdtPr>
          <w:id w:val="30847646"/>
          <w:citation/>
        </w:sdtPr>
        <w:sdtContent>
          <w:r w:rsidRPr="00A81A90">
            <w:fldChar w:fldCharType="begin"/>
          </w:r>
          <w:r w:rsidRPr="00A81A90">
            <w:instrText xml:space="preserve">CITATION Arn \n  \t  \l 12298 </w:instrText>
          </w:r>
          <w:r w:rsidRPr="00A81A90">
            <w:fldChar w:fldCharType="separate"/>
          </w:r>
          <w:r w:rsidRPr="00A81A90">
            <w:rPr>
              <w:noProof/>
            </w:rPr>
            <w:t>(2017)</w:t>
          </w:r>
          <w:r w:rsidRPr="00A81A90">
            <w:fldChar w:fldCharType="end"/>
          </w:r>
        </w:sdtContent>
      </w:sdt>
      <w:r w:rsidRPr="00A81A90">
        <w:t xml:space="preserve"> prueban la eficacia del modelo de simulación de Monte Carlo y el modelo de media móvil integrado autorregresivo (ARIMA) para predecir los precios de las acciones de Pfizer, Coca-Cola, General Electric, Exxon y 3M; utilizando los precios de cierre diarios de las cinco empresas en el periodo entre marzo 2006 y marzo 2016. Los autores concluyen que existe una ligera ventaja en la precisión de las predicciones del modelo ARIMA para períodos más cortos (5 días), mientras que la simulación de Monte Carlo tiene indudable ventaja para períodos más largos (21 días). </w:t>
      </w:r>
    </w:p>
    <w:p w14:paraId="750CA1E8" w14:textId="77777777" w:rsidR="00A81A90" w:rsidRPr="00A81A90" w:rsidRDefault="00A81A90" w:rsidP="00A81A90"/>
    <w:p w14:paraId="6BAF3FE9" w14:textId="1F014F2D" w:rsidR="00A81A90" w:rsidRDefault="00A81A90" w:rsidP="00A81A90">
      <w:r w:rsidRPr="00A81A90">
        <w:t xml:space="preserve">A nivel de la región, Trejos, Nieto &amp; Carvajal </w:t>
      </w:r>
      <w:sdt>
        <w:sdtPr>
          <w:id w:val="-443463327"/>
          <w:citation/>
        </w:sdtPr>
        <w:sdtContent>
          <w:r w:rsidRPr="00A81A90">
            <w:fldChar w:fldCharType="begin"/>
          </w:r>
          <w:r w:rsidRPr="00A81A90">
            <w:instrText xml:space="preserve">CITATION Tre03 \n  \t  \l 12298 </w:instrText>
          </w:r>
          <w:r w:rsidRPr="00A81A90">
            <w:fldChar w:fldCharType="separate"/>
          </w:r>
          <w:r w:rsidRPr="00A81A90">
            <w:rPr>
              <w:noProof/>
            </w:rPr>
            <w:t>(2003)</w:t>
          </w:r>
          <w:r w:rsidRPr="00A81A90">
            <w:fldChar w:fldCharType="end"/>
          </w:r>
        </w:sdtContent>
      </w:sdt>
      <w:r w:rsidRPr="00A81A90">
        <w:t xml:space="preserve">, utilizando los precios de cierre diarios desde el 5 de enero de 1998, hasta el 30 de mayo del 2003, aplican la metodología de series de tiempo, específicamente el método de Box-Jenkins, para modelar el precio diario de una empresa de cementos en Colombia, en donde por medio del modelo ARIMA estacional y no estacional, llegan a la conclusión de que esta metodología es netamente de corto plazo lo cual a nivel de la bolsa se puede interpretar como un aumento de la inversión, ya que en este sector, las ganancias que se pueden conseguir en el lapso de un año. </w:t>
      </w:r>
    </w:p>
    <w:p w14:paraId="104737B5" w14:textId="77777777" w:rsidR="00A81A90" w:rsidRPr="00A81A90" w:rsidRDefault="00A81A90" w:rsidP="00A81A90"/>
    <w:p w14:paraId="3D33CBD3" w14:textId="77777777" w:rsidR="00A81A90" w:rsidRPr="00A81A90" w:rsidRDefault="00A81A90" w:rsidP="00A81A90">
      <w:r w:rsidRPr="00A81A90">
        <w:t xml:space="preserve">Mejía, Hilario &amp; López </w:t>
      </w:r>
      <w:sdt>
        <w:sdtPr>
          <w:id w:val="1253939915"/>
          <w:citation/>
        </w:sdtPr>
        <w:sdtContent>
          <w:r w:rsidRPr="00A81A90">
            <w:fldChar w:fldCharType="begin"/>
          </w:r>
          <w:r w:rsidRPr="00A81A90">
            <w:instrText xml:space="preserve">CITATION Mej17 \n  \t  \l 12298 </w:instrText>
          </w:r>
          <w:r w:rsidRPr="00A81A90">
            <w:fldChar w:fldCharType="separate"/>
          </w:r>
          <w:r w:rsidRPr="00A81A90">
            <w:rPr>
              <w:noProof/>
            </w:rPr>
            <w:t>(2017)</w:t>
          </w:r>
          <w:r w:rsidRPr="00A81A90">
            <w:fldChar w:fldCharType="end"/>
          </w:r>
        </w:sdtContent>
      </w:sdt>
      <w:r w:rsidRPr="00A81A90">
        <w:t xml:space="preserve">, por medio del método Box-Jenkins, buscan predecir el precio diario de las acciones de la empresa Coca Cola por medio de los datos de la Bolsa de Valores de México con respecto a los precios de cierre diarios que van desde el 4 de septiembre del 2012 al 30 de septiembre del 2015. Gracias a sus resultados consistentes, los autores concluyen que el precio de una acción en el mercado de este país, es un proceso factible de modelar por medio de este método ya que demuestra un desempeño muy bueno incluso refiriéndose al comportamiento de los residuos sin que exista correlación entre ellos. </w:t>
      </w:r>
    </w:p>
    <w:p w14:paraId="071F3E8A" w14:textId="77777777" w:rsidR="00A81A90" w:rsidRPr="00A81A90" w:rsidRDefault="00A81A90" w:rsidP="00A81A90"/>
    <w:p w14:paraId="54AEE24A" w14:textId="1FC30272" w:rsidR="00A81A90" w:rsidRPr="00A81A90" w:rsidRDefault="00A81A90" w:rsidP="00A81A90">
      <w:r w:rsidRPr="00A81A90">
        <w:t xml:space="preserve">Finalmente, una obra sumamente interesante es la de Bermejo, Torres &amp; Masferrer </w:t>
      </w:r>
      <w:sdt>
        <w:sdtPr>
          <w:id w:val="1080494988"/>
          <w:citation/>
        </w:sdtPr>
        <w:sdtContent>
          <w:r w:rsidRPr="00A81A90">
            <w:fldChar w:fldCharType="begin"/>
          </w:r>
          <w:r w:rsidRPr="00A81A90">
            <w:instrText xml:space="preserve">CITATION Ber09 \n  \t  \l 12298 </w:instrText>
          </w:r>
          <w:r w:rsidRPr="00A81A90">
            <w:fldChar w:fldCharType="separate"/>
          </w:r>
          <w:r w:rsidRPr="00A81A90">
            <w:rPr>
              <w:noProof/>
            </w:rPr>
            <w:t>(2009)</w:t>
          </w:r>
          <w:r w:rsidRPr="00A81A90">
            <w:fldChar w:fldCharType="end"/>
          </w:r>
        </w:sdtContent>
      </w:sdt>
      <w:r w:rsidRPr="00A81A90">
        <w:t xml:space="preserve">, quienes realizan un análisis con modelos ARIMA para predecir el precio de las </w:t>
      </w:r>
      <w:r w:rsidRPr="00A81A90">
        <w:lastRenderedPageBreak/>
        <w:t xml:space="preserve">acciones de compañías que coticen en un mercado continuo, así como el precio objetivo de una determinada compañía. En este caso, se utilizó una muestra de varias empresas que se relacionen con la producción de Gas Natural y que coticen en el Reino Unido y, se utilizaron los precios de cierre del último día del mes desde enero del 2000, hasta diciembre del 2017. Con respecto a las principales conclusiones, los autores afirman que a pesar de que, para el caso específico del Gas Natural, los resultados son muy buenos, existen dos limitaciones importantes con respecto a esta metodología y es que precisamente el modelo presenta problemas al momento de realizar predicciones a mediano y largo plazo, dado una pérdida de precisión del mismo. Además, afirman que, “la segunda limitación es su carácter univariante que no permite hacer análisis explicativos sobre la evolución del precio, ya que no es posible soportar los resultados en ningún modelo económico” </w:t>
      </w:r>
      <w:sdt>
        <w:sdtPr>
          <w:id w:val="-561330722"/>
          <w:citation/>
        </w:sdtPr>
        <w:sdtContent>
          <w:r w:rsidRPr="00A81A90">
            <w:fldChar w:fldCharType="begin"/>
          </w:r>
          <w:r w:rsidRPr="00A81A90">
            <w:instrText xml:space="preserve"> CITATION Ber09 \l 12298 </w:instrText>
          </w:r>
          <w:r w:rsidRPr="00A81A90">
            <w:fldChar w:fldCharType="separate"/>
          </w:r>
          <w:r w:rsidRPr="00A81A90">
            <w:rPr>
              <w:noProof/>
            </w:rPr>
            <w:t>(Bermejo, Torres, &amp; Masferrer, 2009)</w:t>
          </w:r>
          <w:r w:rsidRPr="00A81A90">
            <w:fldChar w:fldCharType="end"/>
          </w:r>
        </w:sdtContent>
      </w:sdt>
      <w:r w:rsidRPr="00A81A90">
        <w:t>.</w:t>
      </w:r>
    </w:p>
    <w:p w14:paraId="01167AC6" w14:textId="77777777" w:rsidR="00A81A90" w:rsidRPr="00A81A90" w:rsidRDefault="00A81A90" w:rsidP="00A81A90">
      <w:pPr>
        <w:shd w:val="clear" w:color="auto" w:fill="FFFFFF"/>
        <w:tabs>
          <w:tab w:val="left" w:pos="3495"/>
        </w:tabs>
        <w:rPr>
          <w:rFonts w:ascii="Arial" w:eastAsia="Times New Roman" w:hAnsi="Arial" w:cs="Arial"/>
          <w:color w:val="000000" w:themeColor="text1"/>
          <w:lang w:eastAsia="es-EC"/>
        </w:rPr>
      </w:pPr>
    </w:p>
    <w:p w14:paraId="5670A56A" w14:textId="769BD8A0" w:rsidR="00A81A90" w:rsidRPr="00A81A90" w:rsidRDefault="00775752" w:rsidP="00A81A90">
      <w:pPr>
        <w:pStyle w:val="Ttulo1"/>
      </w:pPr>
      <w:r w:rsidRPr="00A81A90">
        <w:t>MARCO TEÓRICO</w:t>
      </w:r>
    </w:p>
    <w:p w14:paraId="3A86C926" w14:textId="4602AACC" w:rsidR="00A81A90" w:rsidRDefault="00A81A90" w:rsidP="00A81A90">
      <w:pPr>
        <w:rPr>
          <w:bCs/>
        </w:rPr>
      </w:pPr>
      <w:r w:rsidRPr="00A81A90">
        <w:rPr>
          <w:bCs/>
        </w:rPr>
        <w:t>Una de las teorías financieras que hacen referencia al pronóstico del precio de una acción de una determinada empresa es la teoría del paseo aleatorio o random walk, afirma que no es posible realizar tal pronóstico ya que todo cambio en los </w:t>
      </w:r>
      <w:hyperlink r:id="rId10" w:history="1">
        <w:r w:rsidRPr="00A81A90">
          <w:t>mercados financieros</w:t>
        </w:r>
      </w:hyperlink>
      <w:r w:rsidRPr="00A81A90">
        <w:rPr>
          <w:bCs/>
        </w:rPr>
        <w:t xml:space="preserve"> es producto de la aleatoriedad, es decir no dependen de series temporales anteriores por lo que el precio no es medible y ni estimable. Por lo tanto, los inversionistas se encuentran en igualdades de condiciones ya que se asume que el mercado es eficiente, es decir, que todos los participantes tienen derecho al mismo grado de información, por lo que tienen las mismas posibilidades de ganar o perder. </w:t>
      </w:r>
    </w:p>
    <w:p w14:paraId="6F5F3CEE" w14:textId="77777777" w:rsidR="00A81A90" w:rsidRPr="00A81A90" w:rsidRDefault="00A81A90" w:rsidP="00A81A90">
      <w:pPr>
        <w:rPr>
          <w:bCs/>
        </w:rPr>
      </w:pPr>
    </w:p>
    <w:p w14:paraId="5FDF7C7D" w14:textId="3DD3DAC4" w:rsidR="00A81A90" w:rsidRDefault="00A81A90" w:rsidP="00A81A90">
      <w:r w:rsidRPr="00A81A90">
        <w:rPr>
          <w:bCs/>
        </w:rPr>
        <w:t xml:space="preserve">Por otro lado, el banco </w:t>
      </w:r>
      <w:r w:rsidRPr="00A81A90">
        <w:rPr>
          <w:i/>
          <w:iCs/>
        </w:rPr>
        <w:t>Bilbao Vizcaya Argentaria</w:t>
      </w:r>
      <w:r w:rsidRPr="00A81A90">
        <w:t> </w:t>
      </w:r>
      <w:sdt>
        <w:sdtPr>
          <w:id w:val="1180783371"/>
          <w:citation/>
        </w:sdtPr>
        <w:sdtContent>
          <w:r w:rsidRPr="00A81A90">
            <w:fldChar w:fldCharType="begin"/>
          </w:r>
          <w:r w:rsidRPr="00A81A90">
            <w:instrText xml:space="preserve">CITATION BBVsf \l 12298 </w:instrText>
          </w:r>
          <w:r w:rsidRPr="00A81A90">
            <w:fldChar w:fldCharType="separate"/>
          </w:r>
          <w:r w:rsidRPr="00A81A90">
            <w:t>(BBVA, s.f)</w:t>
          </w:r>
          <w:r w:rsidRPr="00A81A90">
            <w:fldChar w:fldCharType="end"/>
          </w:r>
        </w:sdtContent>
      </w:sdt>
      <w:r w:rsidRPr="00A81A90">
        <w:t xml:space="preserve"> brinda información</w:t>
      </w:r>
      <w:r w:rsidRPr="00A81A90">
        <w:rPr>
          <w:shd w:val="clear" w:color="auto" w:fill="FFFFFF"/>
        </w:rPr>
        <w:t xml:space="preserve"> de los principales </w:t>
      </w:r>
      <w:r w:rsidRPr="00A81A90">
        <w:t xml:space="preserve">factores que influyen en el precio de las acciones, tales como: el componente técnico, el cual se basa en el estudio histórico de datos sobre los precios de las acciones con el fin de intentar predecir movimientos futuros en el mercado, por lo que es necesario análisis gráficos e indicadores que revelen la tendencia del mercado. Por ejemplo, el precio de una acción suele moverse por las tendencias (ejemplo: popularidad de la compañía) en el corto plazo; entre otros factores. </w:t>
      </w:r>
    </w:p>
    <w:p w14:paraId="037C77DC" w14:textId="77777777" w:rsidR="00A81A90" w:rsidRPr="00A81A90" w:rsidRDefault="00A81A90" w:rsidP="00A81A90"/>
    <w:p w14:paraId="1BB79E68" w14:textId="77777777" w:rsidR="00A81A90" w:rsidRPr="00A81A90" w:rsidRDefault="00A81A90" w:rsidP="00A81A90">
      <w:r w:rsidRPr="00A81A90">
        <w:lastRenderedPageBreak/>
        <w:t xml:space="preserve">Por otra parte, la inflación, variable económica que tiene una relación negativa con el precio de la acción; la fortaleza económica del mercado impacta en la cotización de empresas; entre otros. </w:t>
      </w:r>
    </w:p>
    <w:p w14:paraId="6E44AAD5" w14:textId="77777777" w:rsidR="00A81A90" w:rsidRPr="00A81A90" w:rsidRDefault="00A81A90" w:rsidP="00A81A90">
      <w:pPr>
        <w:ind w:firstLine="708"/>
        <w:rPr>
          <w:rStyle w:val="Textoennegrita"/>
          <w:rFonts w:ascii="Arial" w:hAnsi="Arial" w:cs="Arial"/>
          <w:b w:val="0"/>
          <w:color w:val="000000" w:themeColor="text1"/>
          <w:shd w:val="clear" w:color="auto" w:fill="FFFFFF"/>
        </w:rPr>
      </w:pPr>
    </w:p>
    <w:p w14:paraId="5B5AB047" w14:textId="4BE60D59" w:rsidR="00A81A90" w:rsidRPr="00A81A90" w:rsidRDefault="00775752" w:rsidP="00A81A90">
      <w:pPr>
        <w:pStyle w:val="Ttulo1"/>
      </w:pPr>
      <w:r w:rsidRPr="00A81A90">
        <w:t>METODOLOGÍA</w:t>
      </w:r>
    </w:p>
    <w:p w14:paraId="41297A38" w14:textId="77777777" w:rsidR="00A81A90" w:rsidRPr="00A81A90" w:rsidRDefault="00A81A90" w:rsidP="00A81A90">
      <w:pPr>
        <w:pStyle w:val="Ttulo2"/>
      </w:pPr>
      <w:r w:rsidRPr="00A81A90">
        <w:t>Métodos de obtención de información</w:t>
      </w:r>
    </w:p>
    <w:p w14:paraId="6F429BCB" w14:textId="55C933AB" w:rsidR="00A81A90" w:rsidRDefault="00A81A90" w:rsidP="00A81A90">
      <w:r w:rsidRPr="00A81A90">
        <w:t xml:space="preserve">Por recomendación de otros autores como se utiliza el precio del cierre de la acción de la empresa Pfizer Inc; este dato se obtuvo de la plataforma digital </w:t>
      </w:r>
      <w:r w:rsidRPr="00A81A90">
        <w:rPr>
          <w:i/>
        </w:rPr>
        <w:t xml:space="preserve">Yahoo Finance. </w:t>
      </w:r>
      <w:r w:rsidRPr="00A81A90">
        <w:t>Se recoge información mensual desde enero del 2010 a febrero del 2021, los datos analizados representan el primer día de cada mes; por lo tanto se trabaja con 134 datos de serie temporal.</w:t>
      </w:r>
    </w:p>
    <w:p w14:paraId="22D018CA" w14:textId="77777777" w:rsidR="00A81A90" w:rsidRPr="00A81A90" w:rsidRDefault="00A81A90" w:rsidP="00A81A90">
      <w:pPr>
        <w:spacing w:before="120" w:after="120" w:line="240" w:lineRule="auto"/>
        <w:ind w:firstLine="708"/>
        <w:rPr>
          <w:rFonts w:ascii="Arial" w:hAnsi="Arial" w:cs="Arial"/>
          <w:b/>
        </w:rPr>
      </w:pPr>
    </w:p>
    <w:p w14:paraId="695FB8B3" w14:textId="77777777" w:rsidR="00A81A90" w:rsidRPr="00A81A90" w:rsidRDefault="00A81A90" w:rsidP="00A81A90">
      <w:pPr>
        <w:pStyle w:val="Ttulo2"/>
      </w:pPr>
      <w:r w:rsidRPr="00A81A90">
        <w:t>Métodos de análisis de información</w:t>
      </w:r>
    </w:p>
    <w:p w14:paraId="183D91E8" w14:textId="77777777" w:rsidR="00A81A90" w:rsidRPr="00A81A90" w:rsidRDefault="00A81A90" w:rsidP="00A81A90">
      <w:pPr>
        <w:rPr>
          <w:color w:val="FF0000"/>
        </w:rPr>
      </w:pPr>
      <w:r w:rsidRPr="00A81A90">
        <w:t>En el presente trabajo, primero se presenta un análisis descriptivo, posteriormente se utiliza el modelo ARIMA y SARIMA para realizar el respectivo pronóstico</w:t>
      </w:r>
      <w:r w:rsidRPr="00A81A90">
        <w:rPr>
          <w:color w:val="FF0000"/>
        </w:rPr>
        <w:t>.</w:t>
      </w:r>
    </w:p>
    <w:p w14:paraId="0D1333D2" w14:textId="77777777" w:rsidR="00A81A90" w:rsidRPr="00A81A90" w:rsidRDefault="00A81A90" w:rsidP="00A81A90">
      <w:r w:rsidRPr="00A81A90">
        <w:t>El modelo ARIMA, que se puede describir de la siguiente manera:</w:t>
      </w:r>
    </w:p>
    <w:p w14:paraId="34B7BE28" w14:textId="77777777" w:rsidR="00A81A90" w:rsidRPr="00A81A90" w:rsidRDefault="00A81A90" w:rsidP="00A81A90"/>
    <w:p w14:paraId="0806C739" w14:textId="77777777" w:rsidR="00A81A90" w:rsidRPr="00A81A90" w:rsidRDefault="00A81A90" w:rsidP="00A81A90">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φ</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φ</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m:t>
            </m:r>
            <m:r>
              <w:rPr>
                <w:rFonts w:ascii="Cambria Math" w:hAnsi="Cambria Math"/>
                <w:lang w:val="en-US"/>
              </w:rPr>
              <m:t>p</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r>
              <w:rPr>
                <w:rFonts w:ascii="Cambria Math" w:hAnsi="Cambria Math"/>
              </w:rPr>
              <m:t>-</m:t>
            </m:r>
            <m:r>
              <w:rPr>
                <w:rFonts w:ascii="Cambria Math" w:hAnsi="Cambria Math"/>
                <w:lang w:val="en-US"/>
              </w:rPr>
              <m:t>q</m:t>
            </m:r>
          </m:sub>
        </m:sSub>
      </m:oMath>
      <w:r w:rsidRPr="00A81A90">
        <w:t xml:space="preserve">,          </w:t>
      </w:r>
    </w:p>
    <w:p w14:paraId="07157C26" w14:textId="77777777" w:rsidR="00A81A90" w:rsidRPr="00A81A90" w:rsidRDefault="00A81A90" w:rsidP="00A81A90"/>
    <w:p w14:paraId="5E48783F" w14:textId="77777777" w:rsidR="00A81A90" w:rsidRPr="00A81A90" w:rsidRDefault="00A81A90" w:rsidP="00A81A90">
      <w:r w:rsidRPr="00A81A90">
        <w:t>En donde:</w:t>
      </w:r>
    </w:p>
    <w:p w14:paraId="1D39FCCE" w14:textId="77777777" w:rsidR="00A81A90" w:rsidRPr="00A81A90" w:rsidRDefault="00A81A90" w:rsidP="00A81A90"/>
    <w:p w14:paraId="54A41E3C" w14:textId="77777777" w:rsidR="00A81A90" w:rsidRPr="00A81A90" w:rsidRDefault="00A81A90" w:rsidP="00A81A90">
      <w:pPr>
        <w:pStyle w:val="Prrafodelista"/>
        <w:numPr>
          <w:ilvl w:val="0"/>
          <w:numId w:val="33"/>
        </w:numPr>
        <w:rPr>
          <w:color w:val="000000" w:themeColor="text1"/>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oMath>
      <w:r w:rsidRPr="00A81A90">
        <w:t xml:space="preserve"> </w:t>
      </w:r>
      <w:r w:rsidRPr="00A81A90">
        <w:rPr>
          <w:color w:val="000000" w:themeColor="text1"/>
        </w:rPr>
        <w:t>Precio de las acciones previsto en el período t (día, mes, año o similar),</w:t>
      </w:r>
    </w:p>
    <w:p w14:paraId="3728D4DD" w14:textId="77777777" w:rsidR="00A81A90" w:rsidRPr="00A81A90" w:rsidRDefault="00A81A90" w:rsidP="00A81A90">
      <w:pPr>
        <w:pStyle w:val="Prrafodelista"/>
        <w:numPr>
          <w:ilvl w:val="0"/>
          <w:numId w:val="33"/>
        </w:num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m:t>
            </m:r>
            <m:r>
              <w:rPr>
                <w:rFonts w:ascii="Cambria Math" w:hAnsi="Cambria Math"/>
                <w:lang w:val="en-US"/>
              </w:rPr>
              <m:t>p</m:t>
            </m:r>
          </m:sub>
        </m:sSub>
        <m:r>
          <w:rPr>
            <w:rFonts w:ascii="Cambria Math" w:eastAsiaTheme="minorEastAsia" w:hAnsi="Cambria Math"/>
          </w:rPr>
          <m:t>=</m:t>
        </m:r>
      </m:oMath>
      <w:r w:rsidRPr="00A81A90">
        <w:t xml:space="preserve"> </w:t>
      </w:r>
      <w:r w:rsidRPr="00A81A90">
        <w:rPr>
          <w:color w:val="000000" w:themeColor="text1"/>
        </w:rPr>
        <w:t xml:space="preserve">Precio real de las acciones en el período </w:t>
      </w:r>
      <m:oMath>
        <m:r>
          <w:rPr>
            <w:rFonts w:ascii="Cambria Math" w:hAnsi="Cambria Math"/>
            <w:lang w:val="en-US"/>
          </w:rPr>
          <m:t>t</m:t>
        </m:r>
        <m:r>
          <w:rPr>
            <w:rFonts w:ascii="Cambria Math" w:hAnsi="Cambria Math"/>
          </w:rPr>
          <m:t>-</m:t>
        </m:r>
        <m:r>
          <w:rPr>
            <w:rFonts w:ascii="Cambria Math" w:hAnsi="Cambria Math"/>
            <w:lang w:val="en-US"/>
          </w:rPr>
          <m:t>p</m:t>
        </m:r>
      </m:oMath>
    </w:p>
    <w:p w14:paraId="347AFFCC" w14:textId="77777777" w:rsidR="00A81A90" w:rsidRPr="00A81A90" w:rsidRDefault="00A81A90" w:rsidP="00A81A90">
      <w:pPr>
        <w:pStyle w:val="Prrafodelista"/>
        <w:numPr>
          <w:ilvl w:val="0"/>
          <w:numId w:val="33"/>
        </w:numPr>
      </w:pP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oMath>
      <w:r w:rsidRPr="00A81A90">
        <w:t xml:space="preserve"> ;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q</m:t>
            </m:r>
          </m:sub>
        </m:sSub>
        <m:r>
          <w:rPr>
            <w:rFonts w:ascii="Cambria Math" w:eastAsiaTheme="minorEastAsia" w:hAnsi="Cambria Math"/>
          </w:rPr>
          <m:t>=</m:t>
        </m:r>
      </m:oMath>
      <w:r w:rsidRPr="00A81A90">
        <w:t xml:space="preserve">  Coeficientes,</w:t>
      </w:r>
    </w:p>
    <w:p w14:paraId="6DB402F5" w14:textId="4C6F0325" w:rsidR="00A81A90" w:rsidRDefault="00A81A90" w:rsidP="00A81A90">
      <w:pPr>
        <w:pStyle w:val="Prrafodelista"/>
        <w:numPr>
          <w:ilvl w:val="0"/>
          <w:numId w:val="33"/>
        </w:numPr>
      </w:pPr>
      <m:oMath>
        <m:r>
          <w:rPr>
            <w:rFonts w:ascii="Cambria Math" w:hAnsi="Cambria Math"/>
            <w:lang w:val="en-US"/>
          </w:rPr>
          <m:t>p</m:t>
        </m:r>
        <m:r>
          <w:rPr>
            <w:rFonts w:ascii="Cambria Math" w:hAnsi="Cambria Math"/>
          </w:rPr>
          <m:t xml:space="preserve"> </m:t>
        </m:r>
      </m:oMath>
      <w:r w:rsidRPr="00A81A90">
        <w:t xml:space="preserve">; </w:t>
      </w:r>
      <m:oMath>
        <m:r>
          <w:rPr>
            <w:rFonts w:ascii="Cambria Math" w:hAnsi="Cambria Math"/>
            <w:lang w:val="en-US"/>
          </w:rPr>
          <m:t>q</m:t>
        </m:r>
        <m:r>
          <w:rPr>
            <w:rFonts w:ascii="Cambria Math" w:eastAsiaTheme="minorEastAsia" w:hAnsi="Cambria Math"/>
          </w:rPr>
          <m:t>=</m:t>
        </m:r>
      </m:oMath>
      <w:r w:rsidRPr="00A81A90">
        <w:t xml:space="preserve"> </w:t>
      </w:r>
      <w:r w:rsidRPr="00A81A90">
        <w:rPr>
          <w:color w:val="000000" w:themeColor="text1"/>
        </w:rPr>
        <w:t>Orden del componente autorregresivo y promedio móvil, respectivamente</w:t>
      </w:r>
      <w:r w:rsidRPr="00A81A90">
        <w:t>.</w:t>
      </w:r>
    </w:p>
    <w:p w14:paraId="59D8796F" w14:textId="77777777" w:rsidR="00A81A90" w:rsidRPr="00A81A90" w:rsidRDefault="00A81A90" w:rsidP="00A81A90">
      <w:pPr>
        <w:ind w:left="644" w:firstLine="0"/>
      </w:pPr>
    </w:p>
    <w:p w14:paraId="2DE266A5" w14:textId="77777777" w:rsidR="00A81A90" w:rsidRPr="00A81A90" w:rsidRDefault="00A81A90" w:rsidP="00A81A90">
      <w:r w:rsidRPr="00A81A90">
        <w:t>El enfoque de Box-Jenkins para la selección de modelos es uno de los métodos más utilizados para el análisis de series de tiempo. Este enfoque se caracteriza por cuatro etapas: etapa de identificación, etapa de estimación, etapa de verificación y etapa de pronóstico. La metodología estadística general del modelo ARIMA se puede resumir de la siguiente manera:</w:t>
      </w:r>
    </w:p>
    <w:p w14:paraId="6188824F" w14:textId="77777777" w:rsidR="00A81A90" w:rsidRPr="00A81A90" w:rsidRDefault="00A81A90" w:rsidP="00A81A90">
      <w:pPr>
        <w:rPr>
          <w:rFonts w:ascii="Arial" w:hAnsi="Arial" w:cs="Arial"/>
          <w:color w:val="000000" w:themeColor="text1"/>
        </w:rPr>
      </w:pPr>
    </w:p>
    <w:p w14:paraId="4CFBFDA5" w14:textId="77777777" w:rsidR="00A81A90" w:rsidRPr="00A81A90" w:rsidRDefault="00A81A90" w:rsidP="00363082">
      <w:pPr>
        <w:pStyle w:val="Prrafodelista"/>
        <w:numPr>
          <w:ilvl w:val="0"/>
          <w:numId w:val="38"/>
        </w:numPr>
      </w:pPr>
      <w:r w:rsidRPr="00363082">
        <w:rPr>
          <w:b/>
          <w:bCs/>
        </w:rPr>
        <w:t>Identificación:</w:t>
      </w:r>
      <w:r w:rsidRPr="00A81A90">
        <w:t xml:space="preserve"> Se busca determinar el orden del componente autorregresión y media móvil, además determinar si se incluye o no el valor de la constante. Esta etapa tiene las siguientes fases: </w:t>
      </w:r>
    </w:p>
    <w:p w14:paraId="7A3E80D3" w14:textId="77777777" w:rsidR="00A81A90" w:rsidRPr="00A81A90" w:rsidRDefault="00A81A90" w:rsidP="00A81A90">
      <w:pPr>
        <w:pStyle w:val="Prrafodelista"/>
        <w:rPr>
          <w:rFonts w:ascii="Arial" w:hAnsi="Arial" w:cs="Arial"/>
          <w:color w:val="000000" w:themeColor="text1"/>
        </w:rPr>
      </w:pPr>
    </w:p>
    <w:p w14:paraId="37168400" w14:textId="027603BA" w:rsidR="00A81A90" w:rsidRDefault="00A81A90" w:rsidP="00A81A90">
      <w:pPr>
        <w:pStyle w:val="Prrafodelista"/>
        <w:numPr>
          <w:ilvl w:val="0"/>
          <w:numId w:val="34"/>
        </w:numPr>
      </w:pPr>
      <w:r w:rsidRPr="00A81A90">
        <w:lastRenderedPageBreak/>
        <w:t xml:space="preserve">Se analiza la estacionariedad, buscando las transformaciones que nos ayudarían a obtener una serie estacionaria. Esto, implica analizar la estacionariedad en varianza (estabilización de la varianza) y, la estacionariedad en la media (número de diferencias que hay que tomar para que la serie cumpla con estacionariedad en la media. Existen varios contrastes o test de raíces unitarias, pero lo más utilizados son: </w:t>
      </w:r>
    </w:p>
    <w:p w14:paraId="0479A40E" w14:textId="77777777" w:rsidR="00A81A90" w:rsidRPr="00A81A90" w:rsidRDefault="00A81A90" w:rsidP="00A81A90"/>
    <w:p w14:paraId="75D2D674" w14:textId="77777777" w:rsidR="00A81A90" w:rsidRPr="00A81A90" w:rsidRDefault="00A81A90" w:rsidP="00A81A90">
      <w:pPr>
        <w:pStyle w:val="Prrafodelista"/>
        <w:numPr>
          <w:ilvl w:val="0"/>
          <w:numId w:val="32"/>
        </w:numPr>
        <w:rPr>
          <w:b/>
          <w:bCs/>
        </w:rPr>
      </w:pPr>
      <w:r w:rsidRPr="00A81A90">
        <w:rPr>
          <w:b/>
          <w:bCs/>
        </w:rPr>
        <w:t>Contraste de Dickey-Fuller (DF).</w:t>
      </w:r>
    </w:p>
    <w:p w14:paraId="347A13E8" w14:textId="77777777" w:rsidR="00A81A90" w:rsidRPr="00A81A90" w:rsidRDefault="00A81A90" w:rsidP="00A81A90">
      <w:r w:rsidRPr="00A81A90">
        <w:t>Esta prueba busca encontrar si existen o no raíces unitarias en una serie temporal, con las siguientes hipótesis:</w:t>
      </w:r>
    </w:p>
    <w:p w14:paraId="4A5A772F" w14:textId="77777777" w:rsidR="00A81A90" w:rsidRPr="00A81A90" w:rsidRDefault="00A81A90" w:rsidP="00A81A90">
      <w:pPr>
        <w:rPr>
          <w:rFonts w:eastAsiaTheme="minorEastAsia"/>
        </w:rPr>
      </w:pPr>
      <w:r w:rsidRPr="00A81A90">
        <w:rPr>
          <w:rFonts w:eastAsiaTheme="minorEastAsia"/>
        </w:rPr>
        <w:t>Se puede partir del siguiente esquema</w:t>
      </w:r>
    </w:p>
    <w:p w14:paraId="0B9B1FFE" w14:textId="77777777" w:rsidR="00A81A90" w:rsidRPr="00A81A90" w:rsidRDefault="00A81A90" w:rsidP="00A81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hAnsi="Cambria Math"/>
            </w:rPr>
            <m:t>=ρ</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 xml:space="preserve"> (caso 1)</m:t>
          </m:r>
        </m:oMath>
      </m:oMathPara>
    </w:p>
    <w:p w14:paraId="5927058D" w14:textId="77777777" w:rsidR="00A81A90" w:rsidRPr="00A81A90" w:rsidRDefault="00A81A90" w:rsidP="00A81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hAnsi="Cambria Math"/>
            </w:rPr>
            <m:t>=α+ ρ</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 xml:space="preserve"> (caso 2)</m:t>
          </m:r>
        </m:oMath>
      </m:oMathPara>
    </w:p>
    <w:p w14:paraId="490CC77E" w14:textId="77777777" w:rsidR="00A81A90" w:rsidRPr="00A81A90" w:rsidRDefault="00A81A90" w:rsidP="00A81A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hAnsi="Cambria Math"/>
            </w:rPr>
            <m:t>=α+βt+ρ</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 xml:space="preserve"> (caso 3)</m:t>
          </m:r>
        </m:oMath>
      </m:oMathPara>
    </w:p>
    <w:p w14:paraId="0A4DFB60" w14:textId="77777777" w:rsidR="00A81A90" w:rsidRPr="00A81A90" w:rsidRDefault="00A81A90" w:rsidP="00A81A90">
      <w:pPr>
        <w:rPr>
          <w:rFonts w:eastAsiaTheme="minorEastAsia"/>
        </w:rPr>
      </w:pPr>
    </w:p>
    <w:p w14:paraId="6CB15A1A" w14:textId="77777777" w:rsidR="00A81A90" w:rsidRPr="00A81A90" w:rsidRDefault="00A81A90" w:rsidP="00A81A90">
      <w:pPr>
        <w:rPr>
          <w:rFonts w:eastAsiaTheme="minorEastAsia"/>
        </w:rPr>
      </w:pPr>
      <w:r w:rsidRPr="00A81A90">
        <w:rPr>
          <w:rFonts w:eastAsiaTheme="minorEastAsia"/>
        </w:rPr>
        <w:t xml:space="preserve">donde </w:t>
      </w:r>
      <m:oMath>
        <m:r>
          <w:rPr>
            <w:rFonts w:ascii="Cambria Math" w:hAnsi="Cambria Math"/>
          </w:rPr>
          <m:t>ρ=(∅-1)</m:t>
        </m:r>
      </m:oMath>
      <w:r w:rsidRPr="00A81A90">
        <w:rPr>
          <w:rFonts w:eastAsiaTheme="minorEastAsia"/>
        </w:rPr>
        <w:t xml:space="preserve"> </w:t>
      </w:r>
    </w:p>
    <w:p w14:paraId="6ADA9B8B" w14:textId="77777777" w:rsidR="00A81A90" w:rsidRPr="00A81A90" w:rsidRDefault="00A81A90" w:rsidP="00A81A90">
      <w:pPr>
        <w:jc w:val="left"/>
      </w:pPr>
      <w:r w:rsidRPr="00A81A90">
        <w:t>Entonces, las hipótesis son:</w:t>
      </w:r>
      <w:r w:rsidRPr="00A81A90">
        <w:br/>
      </w:r>
    </w:p>
    <w:p w14:paraId="5F8E0653" w14:textId="77777777" w:rsidR="00A81A90" w:rsidRPr="00A81A90" w:rsidRDefault="00A81A90" w:rsidP="00A81A9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=ρ=0=variable tiene raíz unitaria (serie no estacionaria)</m:t>
          </m:r>
        </m:oMath>
      </m:oMathPara>
    </w:p>
    <w:p w14:paraId="66958E78" w14:textId="77777777" w:rsidR="00A81A90" w:rsidRPr="00A81A90" w:rsidRDefault="00A81A90" w:rsidP="00A81A9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=ρ≠0=variable no tiene raíz unitaria (serie estacionaria)</m:t>
          </m:r>
        </m:oMath>
      </m:oMathPara>
    </w:p>
    <w:p w14:paraId="12877627" w14:textId="5FD1F930" w:rsidR="00A81A90" w:rsidRDefault="00A81A90" w:rsidP="00A81A90">
      <w:r w:rsidRPr="00A81A90">
        <w:t xml:space="preserve">Se espera rechazar la hipótesis nula para concluir que la serie efectivamente es estacionaria. </w:t>
      </w:r>
      <w:sdt>
        <w:sdtPr>
          <w:id w:val="-888958815"/>
          <w:citation/>
        </w:sdtPr>
        <w:sdtContent>
          <w:r w:rsidRPr="00A81A90">
            <w:fldChar w:fldCharType="begin"/>
          </w:r>
          <w:r w:rsidRPr="00A81A90">
            <w:instrText xml:space="preserve"> CITATION sta \l 12298 </w:instrText>
          </w:r>
          <w:r w:rsidRPr="00A81A90">
            <w:fldChar w:fldCharType="separate"/>
          </w:r>
          <w:r w:rsidRPr="00A81A90">
            <w:rPr>
              <w:noProof/>
            </w:rPr>
            <w:t>(stata, s.f.)</w:t>
          </w:r>
          <w:r w:rsidRPr="00A81A90">
            <w:fldChar w:fldCharType="end"/>
          </w:r>
        </w:sdtContent>
      </w:sdt>
    </w:p>
    <w:p w14:paraId="15518CA5" w14:textId="77777777" w:rsidR="00A81A90" w:rsidRPr="00A81A90" w:rsidRDefault="00A81A90" w:rsidP="00A81A90">
      <w:pPr>
        <w:rPr>
          <w:rFonts w:ascii="Arial" w:hAnsi="Arial" w:cs="Arial"/>
          <w:color w:val="000000" w:themeColor="text1"/>
        </w:rPr>
      </w:pPr>
    </w:p>
    <w:p w14:paraId="71CC6080" w14:textId="77777777" w:rsidR="00A81A90" w:rsidRPr="00A81A90" w:rsidRDefault="00A81A90" w:rsidP="00A81A90">
      <w:pPr>
        <w:pStyle w:val="Prrafodelista"/>
        <w:numPr>
          <w:ilvl w:val="0"/>
          <w:numId w:val="25"/>
        </w:numPr>
        <w:rPr>
          <w:b/>
          <w:bCs/>
        </w:rPr>
      </w:pPr>
      <w:r w:rsidRPr="00A81A90">
        <w:rPr>
          <w:b/>
          <w:bCs/>
        </w:rPr>
        <w:t>Contraste de Dickey-Fuller aumentado (DFA).</w:t>
      </w:r>
    </w:p>
    <w:p w14:paraId="489F0064" w14:textId="77777777" w:rsidR="00A81A90" w:rsidRPr="00A81A90" w:rsidRDefault="00A81A90" w:rsidP="00A81A90">
      <w:r w:rsidRPr="00A81A90">
        <w:t xml:space="preserve">En este caso, se muestra una versión aumentada de la DF normal para un conjunto más grande más complejo con respecto al comportamiento de la serie de tiempo. Pues en este caso, el estadístico también tiene que ser negativo y menor al valor crítico, entonces cuanto más negativo es, más fuerte se rechaza la hipótesis de que existe raíz unitaria. </w:t>
      </w:r>
      <w:sdt>
        <w:sdtPr>
          <w:id w:val="1425616350"/>
          <w:citation/>
        </w:sdtPr>
        <w:sdtContent>
          <w:r w:rsidRPr="00A81A90">
            <w:fldChar w:fldCharType="begin"/>
          </w:r>
          <w:r w:rsidRPr="00A81A90">
            <w:instrText xml:space="preserve"> CITATION sta \l 12298 </w:instrText>
          </w:r>
          <w:r w:rsidRPr="00A81A90">
            <w:fldChar w:fldCharType="separate"/>
          </w:r>
          <w:r w:rsidRPr="00A81A90">
            <w:rPr>
              <w:noProof/>
            </w:rPr>
            <w:t>(stata, s.f.)</w:t>
          </w:r>
          <w:r w:rsidRPr="00A81A90">
            <w:fldChar w:fldCharType="end"/>
          </w:r>
        </w:sdtContent>
      </w:sdt>
    </w:p>
    <w:p w14:paraId="7E54FB15" w14:textId="77777777" w:rsidR="00A81A90" w:rsidRPr="00A81A90" w:rsidRDefault="00A81A90" w:rsidP="00A81A90">
      <w:pPr>
        <w:rPr>
          <w:rFonts w:ascii="Arial" w:eastAsiaTheme="minorEastAsia" w:hAnsi="Arial"/>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La</m:t>
          </m:r>
          <m:r>
            <m:rPr>
              <m:sty m:val="p"/>
            </m:rPr>
            <w:rPr>
              <w:rFonts w:ascii="Cambria Math" w:hAnsi="Cambria Math"/>
            </w:rPr>
            <m:t xml:space="preserve"> </m:t>
          </m:r>
          <m:r>
            <w:rPr>
              <w:rFonts w:ascii="Cambria Math" w:hAnsi="Cambria Math"/>
            </w:rPr>
            <m:t>variable</m:t>
          </m:r>
          <m:r>
            <m:rPr>
              <m:sty m:val="p"/>
            </m:rPr>
            <w:rPr>
              <w:rFonts w:ascii="Cambria Math" w:hAnsi="Cambria Math"/>
            </w:rPr>
            <m:t xml:space="preserve"> </m:t>
          </m:r>
          <m:r>
            <w:rPr>
              <w:rFonts w:ascii="Cambria Math" w:hAnsi="Cambria Math"/>
            </w:rPr>
            <m:t>contiene</m:t>
          </m:r>
          <m:r>
            <m:rPr>
              <m:sty m:val="p"/>
            </m:rPr>
            <w:rPr>
              <w:rFonts w:ascii="Cambria Math" w:hAnsi="Cambria Math"/>
            </w:rPr>
            <m:t xml:space="preserve"> </m:t>
          </m:r>
          <m:r>
            <w:rPr>
              <w:rFonts w:ascii="Cambria Math" w:hAnsi="Cambria Math"/>
            </w:rPr>
            <m:t>ra</m:t>
          </m:r>
          <m:r>
            <m:rPr>
              <m:sty m:val="p"/>
            </m:rPr>
            <w:rPr>
              <w:rFonts w:ascii="Cambria Math" w:hAnsi="Cambria Math"/>
            </w:rPr>
            <m:t>í</m:t>
          </m:r>
          <m:r>
            <w:rPr>
              <w:rFonts w:ascii="Cambria Math" w:hAnsi="Cambria Math"/>
            </w:rPr>
            <m:t>z</m:t>
          </m:r>
          <m:r>
            <m:rPr>
              <m:sty m:val="p"/>
            </m:rPr>
            <w:rPr>
              <w:rFonts w:ascii="Cambria Math" w:hAnsi="Cambria Math"/>
            </w:rPr>
            <m:t xml:space="preserve"> </m:t>
          </m:r>
          <m:r>
            <w:rPr>
              <w:rFonts w:ascii="Cambria Math" w:hAnsi="Cambria Math"/>
            </w:rPr>
            <m:t>unitaria</m:t>
          </m:r>
        </m:oMath>
      </m:oMathPara>
    </w:p>
    <w:p w14:paraId="1D314E64" w14:textId="77777777" w:rsidR="00A81A90" w:rsidRPr="00A81A90" w:rsidRDefault="00A81A90" w:rsidP="00A81A90">
      <w:pPr>
        <w:rPr>
          <w:rFonts w:ascii="Arial" w:eastAsiaTheme="minorEastAsia" w:hAnsi="Arial"/>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La</m:t>
          </m:r>
          <m:r>
            <m:rPr>
              <m:sty m:val="p"/>
            </m:rPr>
            <w:rPr>
              <w:rFonts w:ascii="Cambria Math" w:hAnsi="Cambria Math"/>
            </w:rPr>
            <m:t xml:space="preserve"> </m:t>
          </m:r>
          <m:r>
            <w:rPr>
              <w:rFonts w:ascii="Cambria Math" w:hAnsi="Cambria Math"/>
            </w:rPr>
            <m:t>variable</m:t>
          </m:r>
          <m:r>
            <m:rPr>
              <m:sty m:val="p"/>
            </m:rPr>
            <w:rPr>
              <w:rFonts w:ascii="Cambria Math" w:hAnsi="Cambria Math"/>
            </w:rPr>
            <m:t xml:space="preserve"> </m:t>
          </m:r>
          <m:r>
            <w:rPr>
              <w:rFonts w:ascii="Cambria Math" w:hAnsi="Cambria Math"/>
            </w:rPr>
            <m:t>fue</m:t>
          </m:r>
          <m:r>
            <m:rPr>
              <m:sty m:val="p"/>
            </m:rPr>
            <w:rPr>
              <w:rFonts w:ascii="Cambria Math" w:hAnsi="Cambria Math"/>
            </w:rPr>
            <m:t xml:space="preserve"> </m:t>
          </m:r>
          <m:r>
            <w:rPr>
              <w:rFonts w:ascii="Cambria Math" w:hAnsi="Cambria Math"/>
            </w:rPr>
            <m:t>generada</m:t>
          </m:r>
          <m:r>
            <m:rPr>
              <m:sty m:val="p"/>
            </m:rPr>
            <w:rPr>
              <w:rFonts w:ascii="Cambria Math" w:hAnsi="Cambria Math"/>
            </w:rPr>
            <m:t xml:space="preserve"> </m:t>
          </m:r>
          <m:r>
            <w:rPr>
              <w:rFonts w:ascii="Cambria Math" w:hAnsi="Cambria Math"/>
            </w:rPr>
            <m:t>por</m:t>
          </m:r>
          <m:r>
            <m:rPr>
              <m:sty m:val="p"/>
            </m:rPr>
            <w:rPr>
              <w:rFonts w:ascii="Cambria Math" w:hAnsi="Cambria Math"/>
            </w:rPr>
            <m:t xml:space="preserve"> </m:t>
          </m:r>
          <m:r>
            <w:rPr>
              <w:rFonts w:ascii="Cambria Math" w:hAnsi="Cambria Math"/>
            </w:rPr>
            <m:t>un</m:t>
          </m:r>
          <m:r>
            <m:rPr>
              <m:sty m:val="p"/>
            </m:rPr>
            <w:rPr>
              <w:rFonts w:ascii="Cambria Math" w:hAnsi="Cambria Math"/>
            </w:rPr>
            <m:t xml:space="preserve"> </m:t>
          </m:r>
          <m:r>
            <w:rPr>
              <w:rFonts w:ascii="Cambria Math" w:hAnsi="Cambria Math"/>
            </w:rPr>
            <m:t>proceso</m:t>
          </m:r>
          <m:r>
            <m:rPr>
              <m:sty m:val="p"/>
            </m:rPr>
            <w:rPr>
              <w:rFonts w:ascii="Cambria Math" w:hAnsi="Cambria Math"/>
            </w:rPr>
            <m:t xml:space="preserve"> </m:t>
          </m:r>
          <m:r>
            <w:rPr>
              <w:rFonts w:ascii="Cambria Math" w:hAnsi="Cambria Math"/>
            </w:rPr>
            <m:t>estacionario</m:t>
          </m:r>
        </m:oMath>
      </m:oMathPara>
    </w:p>
    <w:p w14:paraId="07990C40" w14:textId="77777777" w:rsidR="00A81A90" w:rsidRPr="00A81A90" w:rsidRDefault="00A81A90" w:rsidP="00A81A90">
      <w:pPr>
        <w:ind w:left="1068"/>
        <w:rPr>
          <w:rFonts w:ascii="Arial" w:eastAsiaTheme="minorEastAsia" w:hAnsi="Arial" w:cs="Arial"/>
          <w:color w:val="000000" w:themeColor="text1"/>
        </w:rPr>
      </w:pPr>
    </w:p>
    <w:p w14:paraId="1577B664" w14:textId="77777777" w:rsidR="00A81A90" w:rsidRPr="00A81A90" w:rsidRDefault="00A81A90" w:rsidP="00A81A90">
      <w:pPr>
        <w:pStyle w:val="Prrafodelista"/>
        <w:numPr>
          <w:ilvl w:val="0"/>
          <w:numId w:val="25"/>
        </w:numPr>
        <w:rPr>
          <w:b/>
          <w:bCs/>
        </w:rPr>
      </w:pPr>
      <w:r w:rsidRPr="00A81A90">
        <w:rPr>
          <w:b/>
          <w:bCs/>
        </w:rPr>
        <w:lastRenderedPageBreak/>
        <w:t>Contraste de Phillips-Perron.</w:t>
      </w:r>
    </w:p>
    <w:p w14:paraId="2C9CC437" w14:textId="77777777" w:rsidR="00A81A90" w:rsidRPr="00A81A90" w:rsidRDefault="00A81A90" w:rsidP="00A81A90">
      <w:r w:rsidRPr="00A81A90">
        <w:t xml:space="preserve">El test de Phillip-Perron permite testear la estacionariedad en una serie mediante la prueba raíz unitaria. Además, este test usa los errores estándar de Newey–West (1987) para dar cuenta de la correlación. </w:t>
      </w:r>
    </w:p>
    <w:p w14:paraId="15203A10" w14:textId="77777777" w:rsidR="00A81A90" w:rsidRPr="00A81A90" w:rsidRDefault="00A81A90" w:rsidP="00A81A90"/>
    <w:p w14:paraId="1060479D" w14:textId="77777777" w:rsidR="00A81A90" w:rsidRPr="00A81A90" w:rsidRDefault="00A81A90" w:rsidP="00A81A90">
      <w:r w:rsidRPr="00A81A90">
        <w:t xml:space="preserve"> Por lo tanto las hipótesis son:</w:t>
      </w:r>
    </w:p>
    <w:p w14:paraId="58A816AB" w14:textId="77777777" w:rsidR="00A81A90" w:rsidRPr="00A81A90" w:rsidRDefault="00A81A90" w:rsidP="00A81A90">
      <w:pPr>
        <w:rPr>
          <w:b/>
        </w:rPr>
      </w:pPr>
    </w:p>
    <w:p w14:paraId="437A86A5" w14:textId="77777777" w:rsidR="00A81A90" w:rsidRPr="00A81A90" w:rsidRDefault="00A81A90" w:rsidP="00A81A9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=ρ=0=variable tiene raíz unitaria (serie no estacionaria)</m:t>
          </m:r>
        </m:oMath>
      </m:oMathPara>
    </w:p>
    <w:p w14:paraId="4E8C50B1" w14:textId="77777777" w:rsidR="00A81A90" w:rsidRPr="00A81A90" w:rsidRDefault="00A81A90" w:rsidP="00A81A9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=ρ≠0=variable no tiene raíz unitaria (serie estacionaria)</m:t>
          </m:r>
        </m:oMath>
      </m:oMathPara>
    </w:p>
    <w:p w14:paraId="78006D97" w14:textId="77777777" w:rsidR="00A81A90" w:rsidRPr="00A81A90" w:rsidRDefault="00A81A90" w:rsidP="00A81A90">
      <w:r w:rsidRPr="00A81A90">
        <w:t xml:space="preserve">Phillip-Perron proponen usar métodos estadísticos no paramétricos para lidiar con los problemas de correlación serial y heterocedasticidad. Por eso parte de </w:t>
      </w:r>
    </w:p>
    <w:p w14:paraId="43792B26" w14:textId="77777777" w:rsidR="00A81A90" w:rsidRPr="00A81A90" w:rsidRDefault="00A81A90" w:rsidP="00A81A90">
      <w:pPr>
        <w:rPr>
          <w:rFonts w:ascii="Arial" w:eastAsiaTheme="minorEastAsia" w:hAnsi="Arial" w:cs="Arial"/>
          <w:color w:val="000000" w:themeColor="text1"/>
        </w:rPr>
      </w:pPr>
      <m:oMathPara>
        <m:oMath>
          <m:r>
            <m:rPr>
              <m:sty m:val="p"/>
            </m:rPr>
            <w:rPr>
              <w:rFonts w:ascii="Cambria Math" w:eastAsiaTheme="minorEastAsia" w:hAnsi="Cambria Math" w:cs="Arial"/>
              <w:color w:val="000000" w:themeColor="text1"/>
            </w:rPr>
            <w:br/>
          </m:r>
        </m:oMath>
        <m:oMath>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Y</m:t>
              </m:r>
            </m:e>
            <m:sub>
              <m:r>
                <w:rPr>
                  <w:rFonts w:ascii="Cambria Math" w:eastAsiaTheme="minorEastAsia" w:hAnsi="Cambria Math" w:cs="Arial"/>
                  <w:color w:val="000000" w:themeColor="text1"/>
                </w:rPr>
                <m:t>i</m:t>
              </m:r>
            </m:sub>
          </m:sSub>
          <m:r>
            <w:rPr>
              <w:rFonts w:ascii="Cambria Math" w:hAnsi="Cambria Math" w:cs="Arial"/>
              <w:color w:val="000000" w:themeColor="text1"/>
            </w:rPr>
            <m:t>=α+ ρ</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Y</m:t>
              </m:r>
            </m:e>
            <m:sub>
              <m:r>
                <w:rPr>
                  <w:rFonts w:ascii="Cambria Math" w:eastAsiaTheme="minorEastAsia" w:hAnsi="Cambria Math" w:cs="Arial"/>
                  <w:color w:val="000000" w:themeColor="text1"/>
                </w:rPr>
                <m:t>i-1</m:t>
              </m:r>
            </m:sub>
          </m:sSub>
          <m:r>
            <w:rPr>
              <w:rFonts w:ascii="Cambria Math" w:eastAsiaTheme="minorEastAsia" w:hAnsi="Cambria Math" w:cs="Arial"/>
              <w:color w:val="000000" w:themeColor="text1"/>
            </w:rPr>
            <m:t>+</m:t>
          </m:r>
          <m:sSub>
            <m:sSubPr>
              <m:ctrlPr>
                <w:rPr>
                  <w:rFonts w:ascii="Cambria Math" w:eastAsiaTheme="minorEastAsia" w:hAnsi="Cambria Math" w:cs="Arial"/>
                  <w:i/>
                  <w:color w:val="000000" w:themeColor="text1"/>
                </w:rPr>
              </m:ctrlPr>
            </m:sSubPr>
            <m:e>
              <m:r>
                <w:rPr>
                  <w:rFonts w:ascii="Cambria Math" w:eastAsiaTheme="minorEastAsia" w:hAnsi="Cambria Math" w:cs="Arial"/>
                  <w:color w:val="000000" w:themeColor="text1"/>
                </w:rPr>
                <m:t>ε</m:t>
              </m:r>
            </m:e>
            <m:sub>
              <m:r>
                <w:rPr>
                  <w:rFonts w:ascii="Cambria Math" w:eastAsiaTheme="minorEastAsia" w:hAnsi="Cambria Math" w:cs="Arial"/>
                  <w:color w:val="000000" w:themeColor="text1"/>
                </w:rPr>
                <m:t>t</m:t>
              </m:r>
            </m:sub>
          </m:sSub>
          <m:r>
            <w:rPr>
              <w:rFonts w:ascii="Cambria Math" w:eastAsiaTheme="minorEastAsia" w:hAnsi="Cambria Math" w:cs="Arial"/>
              <w:color w:val="000000" w:themeColor="text1"/>
            </w:rPr>
            <m:t xml:space="preserve"> </m:t>
          </m:r>
        </m:oMath>
      </m:oMathPara>
    </w:p>
    <w:p w14:paraId="1A791CDC" w14:textId="77777777" w:rsidR="00A81A90" w:rsidRPr="00A81A90" w:rsidRDefault="00A81A90" w:rsidP="00A81A90">
      <w:pPr>
        <w:rPr>
          <w:rFonts w:ascii="Arial" w:hAnsi="Arial" w:cs="Arial"/>
          <w:color w:val="000000" w:themeColor="text1"/>
        </w:rPr>
      </w:pPr>
    </w:p>
    <w:p w14:paraId="3354E569" w14:textId="77777777" w:rsidR="00A81A90" w:rsidRPr="00A81A90" w:rsidRDefault="00A81A90" w:rsidP="00A81A90">
      <w:r w:rsidRPr="00A81A90">
        <w:t xml:space="preserve"> Y define dos estadísticos:</w:t>
      </w:r>
    </w:p>
    <w:p w14:paraId="5AF1BD8B" w14:textId="77777777" w:rsidR="00A81A90" w:rsidRPr="00A81A90" w:rsidRDefault="00A81A90" w:rsidP="00A81A9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ρ</m:t>
              </m:r>
            </m:sub>
          </m:sSub>
          <m:r>
            <w:rPr>
              <w:rFonts w:ascii="Cambria Math" w:hAnsi="Cambria Math"/>
            </w:rPr>
            <m:t>=n</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n</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2</m:t>
                  </m:r>
                </m:sup>
              </m:sSup>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den>
          </m:f>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λ</m:t>
                      </m:r>
                    </m:e>
                  </m:acc>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0,n</m:t>
                  </m:r>
                </m:sub>
              </m:sSub>
            </m:e>
          </m:d>
        </m:oMath>
      </m:oMathPara>
    </w:p>
    <w:p w14:paraId="07015384" w14:textId="77777777" w:rsidR="00A81A90" w:rsidRPr="00A81A90" w:rsidRDefault="00A81A90" w:rsidP="00A81A90">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0,n</m:t>
                      </m:r>
                    </m:sub>
                  </m:sSub>
                </m:num>
                <m:den>
                  <m:sSubSup>
                    <m:sSubSupPr>
                      <m:ctrlPr>
                        <w:rPr>
                          <w:rFonts w:ascii="Cambria Math" w:hAnsi="Cambria Math"/>
                          <w:i/>
                        </w:rPr>
                      </m:ctrlPr>
                    </m:sSubSupPr>
                    <m:e>
                      <m:acc>
                        <m:accPr>
                          <m:ctrlPr>
                            <w:rPr>
                              <w:rFonts w:ascii="Cambria Math" w:hAnsi="Cambria Math"/>
                              <w:i/>
                            </w:rPr>
                          </m:ctrlPr>
                        </m:accPr>
                        <m:e>
                          <m:r>
                            <w:rPr>
                              <w:rFonts w:ascii="Cambria Math" w:hAnsi="Cambria Math"/>
                            </w:rPr>
                            <m:t>λ</m:t>
                          </m:r>
                        </m:e>
                      </m:acc>
                    </m:e>
                    <m:sub>
                      <m:r>
                        <w:rPr>
                          <w:rFonts w:ascii="Cambria Math" w:hAnsi="Cambria Math"/>
                        </w:rPr>
                        <m:t>n</m:t>
                      </m:r>
                    </m:sub>
                    <m:sup>
                      <m:r>
                        <w:rPr>
                          <w:rFonts w:ascii="Cambria Math" w:hAnsi="Cambria Math"/>
                        </w:rPr>
                        <m:t>2</m:t>
                      </m:r>
                    </m:sup>
                  </m:sSubSup>
                </m:den>
              </m:f>
            </m:e>
          </m:rad>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n</m:t>
                  </m:r>
                </m:sub>
              </m:sSub>
              <m:r>
                <w:rPr>
                  <w:rFonts w:ascii="Cambria Math" w:hAnsi="Cambria Math"/>
                </w:rPr>
                <m:t>-1</m:t>
              </m:r>
            </m:num>
            <m:den>
              <m:acc>
                <m:accPr>
                  <m:ctrlPr>
                    <w:rPr>
                      <w:rFonts w:ascii="Cambria Math" w:hAnsi="Cambria Math"/>
                      <w:i/>
                    </w:rPr>
                  </m:ctrlPr>
                </m:accPr>
                <m:e>
                  <m:r>
                    <w:rPr>
                      <w:rFonts w:ascii="Cambria Math" w:hAnsi="Cambria Math"/>
                    </w:rPr>
                    <m:t>θ</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λ</m:t>
                      </m:r>
                    </m:e>
                  </m:acc>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0,n</m:t>
                  </m:r>
                </m:sub>
              </m:sSub>
            </m:e>
          </m:d>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n</m:t>
                  </m:r>
                </m:sub>
              </m:sSub>
            </m:den>
          </m:f>
          <m:f>
            <m:fPr>
              <m:ctrlPr>
                <w:rPr>
                  <w:rFonts w:ascii="Cambria Math" w:hAnsi="Cambria Math"/>
                  <w:i/>
                </w:rPr>
              </m:ctrlPr>
            </m:fPr>
            <m:num>
              <m:r>
                <w:rPr>
                  <w:rFonts w:ascii="Cambria Math" w:hAnsi="Cambria Math"/>
                </w:rPr>
                <m:t>n</m:t>
              </m:r>
              <m:acc>
                <m:accPr>
                  <m:ctrlPr>
                    <w:rPr>
                      <w:rFonts w:ascii="Cambria Math" w:hAnsi="Cambria Math"/>
                      <w:i/>
                    </w:rPr>
                  </m:ctrlPr>
                </m:accPr>
                <m:e>
                  <m:r>
                    <w:rPr>
                      <w:rFonts w:ascii="Cambria Math" w:hAnsi="Cambria Math"/>
                    </w:rPr>
                    <m:t>θ</m:t>
                  </m:r>
                </m:e>
              </m:acc>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m:oMathPara>
    </w:p>
    <w:p w14:paraId="58EDB682" w14:textId="77777777" w:rsidR="00A81A90" w:rsidRPr="00A81A90" w:rsidRDefault="00A81A90" w:rsidP="00A81A90"/>
    <w:p w14:paraId="327F84F9" w14:textId="77777777" w:rsidR="00A81A90" w:rsidRPr="00A81A90" w:rsidRDefault="00A81A90" w:rsidP="00A81A90">
      <w:pPr>
        <w:rPr>
          <w:rFonts w:eastAsiaTheme="minorEastAsia"/>
        </w:rPr>
      </w:pPr>
      <w:r w:rsidRPr="00A81A90">
        <w:rPr>
          <w:rFonts w:eastAsiaTheme="minorEastAsia"/>
        </w:rPr>
        <w:t>Donde:</w:t>
      </w:r>
    </w:p>
    <w:p w14:paraId="611D25F0" w14:textId="77777777" w:rsidR="00A81A90" w:rsidRPr="00A81A90" w:rsidRDefault="00A81A90" w:rsidP="00A81A9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sup>
                      <m:r>
                        <w:rPr>
                          <w:rFonts w:ascii="Cambria Math" w:eastAsiaTheme="minorEastAsia" w:hAnsi="Cambria Math"/>
                        </w:rPr>
                        <m:t>2</m:t>
                      </m:r>
                    </m:sup>
                  </m:sSup>
                </m:e>
              </m:nary>
            </m:den>
          </m:f>
        </m:oMath>
      </m:oMathPara>
    </w:p>
    <w:p w14:paraId="36454E17" w14:textId="77777777" w:rsidR="00A81A90" w:rsidRPr="00A81A90" w:rsidRDefault="00A81A90" w:rsidP="00A81A9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j,n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i-j</m:t>
                  </m:r>
                </m:sub>
              </m:sSub>
            </m:e>
          </m:nary>
        </m:oMath>
      </m:oMathPara>
    </w:p>
    <w:p w14:paraId="1BD1A365" w14:textId="77777777" w:rsidR="00A81A90" w:rsidRPr="00A81A90" w:rsidRDefault="00A81A90" w:rsidP="00A81A9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λ</m:t>
                  </m:r>
                </m:e>
              </m:acc>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0,n</m:t>
              </m:r>
            </m:sub>
          </m:sSub>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(1-</m:t>
              </m:r>
              <m:f>
                <m:fPr>
                  <m:ctrlPr>
                    <w:rPr>
                      <w:rFonts w:ascii="Cambria Math" w:hAnsi="Cambria Math"/>
                      <w:i/>
                    </w:rPr>
                  </m:ctrlPr>
                </m:fPr>
                <m:num>
                  <m:r>
                    <w:rPr>
                      <w:rFonts w:ascii="Cambria Math" w:hAnsi="Cambria Math"/>
                    </w:rPr>
                    <m:t>j</m:t>
                  </m:r>
                </m:num>
                <m:den>
                  <m:r>
                    <w:rPr>
                      <w:rFonts w:ascii="Cambria Math" w:hAnsi="Cambria Math"/>
                    </w:rPr>
                    <m:t>q+1</m:t>
                  </m:r>
                </m:den>
              </m:f>
              <m:r>
                <w:rPr>
                  <w:rFonts w:ascii="Cambria Math" w:hAnsi="Cambria Math"/>
                </w:rPr>
                <m:t>)</m:t>
              </m:r>
            </m:e>
          </m:nary>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j,n</m:t>
              </m:r>
            </m:sub>
          </m:sSub>
        </m:oMath>
      </m:oMathPara>
    </w:p>
    <w:p w14:paraId="547627C4" w14:textId="77777777" w:rsidR="00A81A90" w:rsidRPr="00A81A90" w:rsidRDefault="00A81A90" w:rsidP="00A81A9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u</m:t>
                      </m:r>
                    </m:e>
                  </m:acc>
                </m:e>
                <m:sub>
                  <m:r>
                    <w:rPr>
                      <w:rFonts w:ascii="Cambria Math" w:hAnsi="Cambria Math"/>
                    </w:rPr>
                    <m:t>i</m:t>
                  </m:r>
                </m:sub>
                <m:sup>
                  <m:r>
                    <w:rPr>
                      <w:rFonts w:ascii="Cambria Math" w:hAnsi="Cambria Math"/>
                    </w:rPr>
                    <m:t>2</m:t>
                  </m:r>
                </m:sup>
              </m:sSubSup>
            </m:e>
          </m:nary>
        </m:oMath>
      </m:oMathPara>
    </w:p>
    <w:p w14:paraId="53E06E62" w14:textId="77777777" w:rsidR="00A81A90" w:rsidRPr="00A81A90" w:rsidRDefault="00A81A90" w:rsidP="00A81A9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 xml:space="preserve">=es el residuo obtenido de la estimación por MCO </m:t>
          </m:r>
        </m:oMath>
      </m:oMathPara>
    </w:p>
    <w:p w14:paraId="63F779D2" w14:textId="77777777" w:rsidR="00A81A90" w:rsidRPr="00A81A90" w:rsidRDefault="00A81A90" w:rsidP="00A81A90">
      <w:pPr>
        <w:rPr>
          <w:rFonts w:eastAsiaTheme="minorEastAsia"/>
        </w:rPr>
      </w:pPr>
      <m:oMathPara>
        <m:oMath>
          <m:r>
            <w:rPr>
              <w:rFonts w:ascii="Cambria Math" w:hAnsi="Cambria Math"/>
            </w:rPr>
            <m:t>k=es el número de covariables en la regresion</m:t>
          </m:r>
        </m:oMath>
      </m:oMathPara>
    </w:p>
    <w:p w14:paraId="28094D6D" w14:textId="77777777" w:rsidR="00A81A90" w:rsidRPr="00A81A90" w:rsidRDefault="00A81A90" w:rsidP="00A81A90">
      <w:pPr>
        <w:rPr>
          <w:rFonts w:eastAsiaTheme="minorEastAsia"/>
        </w:rPr>
      </w:pPr>
      <m:oMathPara>
        <m:oMath>
          <m:r>
            <w:rPr>
              <w:rFonts w:ascii="Cambria Math" w:hAnsi="Cambria Math"/>
            </w:rPr>
            <w:lastRenderedPageBreak/>
            <m:t>q=número de rezagos obtenido por New West</m:t>
          </m:r>
        </m:oMath>
      </m:oMathPara>
    </w:p>
    <w:p w14:paraId="07EC03CD" w14:textId="0CC77767" w:rsidR="00A81A90" w:rsidRPr="00A81A90" w:rsidRDefault="00A81A90" w:rsidP="00A81A90">
      <w:pPr>
        <w:rPr>
          <w:rFonts w:eastAsiaTheme="minorEastAsia"/>
        </w:rPr>
      </w:pPr>
      <m:oMathPara>
        <m:oMath>
          <m:acc>
            <m:accPr>
              <m:ctrlPr>
                <w:rPr>
                  <w:rFonts w:ascii="Cambria Math" w:hAnsi="Cambria Math"/>
                  <w:i/>
                </w:rPr>
              </m:ctrlPr>
            </m:accPr>
            <m:e>
              <m:r>
                <w:rPr>
                  <w:rFonts w:ascii="Cambria Math" w:hAnsi="Cambria Math"/>
                </w:rPr>
                <m:t>θ</m:t>
              </m:r>
            </m:e>
          </m:acc>
          <m:r>
            <w:rPr>
              <w:rFonts w:ascii="Cambria Math" w:hAnsi="Cambria Math"/>
            </w:rPr>
            <m:t xml:space="preserve">=error estandar de  </m:t>
          </m:r>
          <m:acc>
            <m:accPr>
              <m:ctrlPr>
                <w:rPr>
                  <w:rFonts w:ascii="Cambria Math" w:hAnsi="Cambria Math"/>
                  <w:i/>
                </w:rPr>
              </m:ctrlPr>
            </m:accPr>
            <m:e>
              <m:r>
                <w:rPr>
                  <w:rFonts w:ascii="Cambria Math" w:hAnsi="Cambria Math"/>
                </w:rPr>
                <m:t xml:space="preserve">ρ </m:t>
              </m:r>
            </m:e>
          </m:acc>
        </m:oMath>
      </m:oMathPara>
    </w:p>
    <w:p w14:paraId="5B3C5AE5" w14:textId="77777777" w:rsidR="00A81A90" w:rsidRPr="00A81A90" w:rsidRDefault="00A81A90" w:rsidP="00A81A90">
      <w:pPr>
        <w:rPr>
          <w:rFonts w:eastAsiaTheme="minorEastAsia"/>
        </w:rPr>
      </w:pPr>
    </w:p>
    <w:p w14:paraId="045A819B" w14:textId="77777777" w:rsidR="00A81A90" w:rsidRPr="00A81A90" w:rsidRDefault="00A81A90" w:rsidP="00A81A90">
      <w:pPr>
        <w:rPr>
          <w:rFonts w:eastAsiaTheme="minorEastAsia"/>
        </w:rPr>
      </w:pPr>
      <w:r w:rsidRPr="00A81A90">
        <w:rPr>
          <w:rFonts w:eastAsiaTheme="minorEastAsia"/>
        </w:rPr>
        <w:t xml:space="preserve">Cabe mencionar,  los estadísticos </w:t>
      </w:r>
      <m:oMath>
        <m:sSub>
          <m:sSubPr>
            <m:ctrlPr>
              <w:rPr>
                <w:rFonts w:ascii="Cambria Math" w:hAnsi="Cambria Math"/>
                <w:i/>
              </w:rPr>
            </m:ctrlPr>
          </m:sSubPr>
          <m:e>
            <m:r>
              <w:rPr>
                <w:rFonts w:ascii="Cambria Math" w:hAnsi="Cambria Math"/>
              </w:rPr>
              <m:t>Z</m:t>
            </m:r>
          </m:e>
          <m:sub>
            <m:r>
              <w:rPr>
                <w:rFonts w:ascii="Cambria Math" w:hAnsi="Cambria Math"/>
              </w:rPr>
              <m:t>ρ</m:t>
            </m:r>
          </m:sub>
        </m:sSub>
        <m:r>
          <w:rPr>
            <w:rFonts w:ascii="Cambria Math" w:hAnsi="Cambria Math"/>
          </w:rPr>
          <m:t xml:space="preserve">  y </m:t>
        </m:r>
      </m:oMath>
      <w:r w:rsidRPr="00A81A90">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A81A90">
        <w:rPr>
          <w:rFonts w:eastAsiaTheme="minorEastAsia"/>
        </w:rPr>
        <w:t xml:space="preserve">tienen la misma distribución asintótica como el estadístico t de </w:t>
      </w:r>
      <w:r w:rsidRPr="00A81A90">
        <w:t>Dickey-Fuller aumentada (DFA)</w:t>
      </w:r>
    </w:p>
    <w:p w14:paraId="1F2AB848" w14:textId="77777777" w:rsidR="00A81A90" w:rsidRPr="00A81A90" w:rsidRDefault="00A81A90" w:rsidP="00A81A90">
      <w:r w:rsidRPr="00A81A90">
        <w:rPr>
          <w:rFonts w:eastAsiaTheme="minorEastAsia"/>
        </w:rPr>
        <w:t xml:space="preserve">Además, que el este test </w:t>
      </w:r>
      <w:r w:rsidRPr="00A81A90">
        <w:t xml:space="preserve">usa los mismos valores críticos que los de la prueba Dickey-Fuller.  </w:t>
      </w:r>
    </w:p>
    <w:p w14:paraId="392AFEB2" w14:textId="77777777" w:rsidR="00A81A90" w:rsidRPr="00A81A90" w:rsidRDefault="00A81A90" w:rsidP="00A81A90">
      <w:pPr>
        <w:pStyle w:val="Prrafodelista"/>
        <w:numPr>
          <w:ilvl w:val="0"/>
          <w:numId w:val="25"/>
        </w:numPr>
        <w:rPr>
          <w:b/>
          <w:bCs/>
          <w:lang w:val="en-US"/>
        </w:rPr>
      </w:pPr>
      <w:r w:rsidRPr="00A81A90">
        <w:rPr>
          <w:b/>
          <w:bCs/>
          <w:lang w:val="en-US"/>
        </w:rPr>
        <w:t>Contraste de Kwiatkowski-Phillips-Shin</w:t>
      </w:r>
    </w:p>
    <w:p w14:paraId="27D8BF33" w14:textId="0DD93520" w:rsidR="00A81A90" w:rsidRPr="00A81A90" w:rsidRDefault="00A81A90" w:rsidP="00A81A90">
      <w:r w:rsidRPr="00A81A90">
        <w:t>Es un complemento al test aumentado de DF y al contrario de otros test tradicionales, en los cuales la hipótesis nula es que hay presencia de raíz unitaria, el test KPSS analiza que la hipótesis alternativa es la que considera la presencia de raíz unitaria, en otras palabras:</w:t>
      </w:r>
    </w:p>
    <w:p w14:paraId="412BBFCC" w14:textId="77777777" w:rsidR="00A81A90" w:rsidRPr="00A81A90" w:rsidRDefault="00A81A90" w:rsidP="00A81A90">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:Hay presencia de </m:t>
          </m:r>
          <m:r>
            <m:rPr>
              <m:nor/>
            </m:rPr>
            <w:rPr>
              <w:color w:val="000000" w:themeColor="text1"/>
            </w:rPr>
            <m:t>tendencia-estacionaria</m:t>
          </m:r>
        </m:oMath>
      </m:oMathPara>
    </w:p>
    <w:p w14:paraId="4669DEC2" w14:textId="77777777" w:rsidR="00A81A90" w:rsidRPr="00A81A90" w:rsidRDefault="00A81A90" w:rsidP="00A81A90">
      <w:pPr>
        <w:rPr>
          <w:rFonts w:eastAsiaTheme="minorEastAsia"/>
          <w:color w:val="000000" w:themeColor="text1"/>
        </w:rPr>
      </w:pPr>
      <m:oMathPara>
        <m:oMath>
          <m:r>
            <w:rPr>
              <w:rFonts w:ascii="Cambria Math" w:eastAsiaTheme="minorEastAsia" w:hAnsi="Cambria Math"/>
              <w:color w:val="000000" w:themeColor="text1"/>
            </w:rPr>
            <m:t>(Estacionaria al rededor de la media)</m:t>
          </m:r>
        </m:oMath>
      </m:oMathPara>
    </w:p>
    <w:p w14:paraId="669396A9" w14:textId="77777777" w:rsidR="00A81A90" w:rsidRPr="00A81A90" w:rsidRDefault="00A81A90" w:rsidP="00A81A90">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:Hay presencia de raíz unitaria</m:t>
          </m:r>
        </m:oMath>
      </m:oMathPara>
    </w:p>
    <w:p w14:paraId="4707B799" w14:textId="77777777" w:rsidR="00A81A90" w:rsidRPr="00A81A90" w:rsidRDefault="00A81A90" w:rsidP="00A81A90"/>
    <w:p w14:paraId="0E1B3922" w14:textId="77777777" w:rsidR="00A81A90" w:rsidRPr="00A81A90" w:rsidRDefault="00A81A90" w:rsidP="00A81A90">
      <w:r w:rsidRPr="00A81A90">
        <w:t>Otra diferencia es que en el test KPSS, la ausencia de raíz unitaria no es prueba definitiva que la variable sea estacionaria, sino más bien, de algo llamado “tendencia-estacionaria” que significa que una serie temporal es estacionaria alrededor de una media.</w:t>
      </w:r>
    </w:p>
    <w:p w14:paraId="456B8AF1" w14:textId="5FC5AF74" w:rsidR="00A81A90" w:rsidRDefault="00A81A90" w:rsidP="00A81A90">
      <w:r w:rsidRPr="00A81A90">
        <w:t>Este hecho es muy importante, pues abre la posibilidad de que una variable de serie de tiempo sea no estacionaria y al mismo tiempo no posea raíz unitaria, convirtiéndose en una variable de “tendencia-estacionaria”.</w:t>
      </w:r>
    </w:p>
    <w:p w14:paraId="3DE8E921" w14:textId="77777777" w:rsidR="00363082" w:rsidRPr="00A81A90" w:rsidRDefault="00363082" w:rsidP="00A81A90"/>
    <w:p w14:paraId="49BE253A" w14:textId="77777777" w:rsidR="00A81A90" w:rsidRPr="00A81A90" w:rsidRDefault="00A81A90" w:rsidP="00A81A90">
      <w:r w:rsidRPr="00A81A90">
        <w:t>Tanto en los procesos de raíz unitaria, como de tendencia estacionaria la media de la variable puede crecer o disminuir a lo largo del tiempo, sin embargo, en el caso de variables “tendencia-estacionaria” cuando hay una perturbación se revierte la media, no obstante, la perturbación tendrá un efecto transitorio sobre la serie de tiempo, provocando que la serie temporal eventualmente converja hacia la media (creciente o decreciente).</w:t>
      </w:r>
    </w:p>
    <w:p w14:paraId="1EA70E92" w14:textId="2B4477B9" w:rsidR="00A81A90" w:rsidRDefault="00A81A90" w:rsidP="00A81A90">
      <w:r w:rsidRPr="00A81A90">
        <w:t xml:space="preserve">La mayor desventaja del test KPSS es que tiene una alta tasa de errores tipo 1 (tiende a Rho a menudo). Una forma de controlar es usar el test KPSS en conjunto con el test de DFA. </w:t>
      </w:r>
      <w:sdt>
        <w:sdtPr>
          <w:id w:val="-2044668107"/>
          <w:citation/>
        </w:sdtPr>
        <w:sdtContent>
          <w:r w:rsidRPr="00A81A90">
            <w:fldChar w:fldCharType="begin"/>
          </w:r>
          <w:r w:rsidRPr="00A81A90">
            <w:instrText xml:space="preserve"> CITATION sta \l 12298 </w:instrText>
          </w:r>
          <w:r w:rsidRPr="00A81A90">
            <w:fldChar w:fldCharType="separate"/>
          </w:r>
          <w:r w:rsidRPr="00A81A90">
            <w:rPr>
              <w:noProof/>
            </w:rPr>
            <w:t>(stata, s.f.)</w:t>
          </w:r>
          <w:r w:rsidRPr="00A81A90">
            <w:fldChar w:fldCharType="end"/>
          </w:r>
        </w:sdtContent>
      </w:sdt>
    </w:p>
    <w:p w14:paraId="7CB1BAC9" w14:textId="77777777" w:rsidR="00363082" w:rsidRPr="00A81A90" w:rsidRDefault="00363082" w:rsidP="00A81A90"/>
    <w:p w14:paraId="09E6AB1E" w14:textId="25C047F1" w:rsidR="00A81A90" w:rsidRDefault="00A81A90" w:rsidP="00A81A90">
      <w:r w:rsidRPr="00A81A90">
        <w:lastRenderedPageBreak/>
        <w:t>Si después de utilizar los estadísticos la serie no es estacionaria, se debe realizar transformación que generalmente se diferencia la serie para convertirla en estacionaria, ya que los modelos ARIMA y SARIMA parten del supuesto que la serie es constante en media y varianza</w:t>
      </w:r>
    </w:p>
    <w:p w14:paraId="5C94BE91" w14:textId="77777777" w:rsidR="00A81A90" w:rsidRPr="00A81A90" w:rsidRDefault="00A81A90" w:rsidP="00A81A90"/>
    <w:p w14:paraId="713F5A96" w14:textId="3F61C6BD" w:rsidR="00A81A90" w:rsidRPr="00A81A90" w:rsidRDefault="00A81A90" w:rsidP="00A81A90">
      <w:pPr>
        <w:pStyle w:val="Prrafodelista"/>
        <w:numPr>
          <w:ilvl w:val="0"/>
          <w:numId w:val="34"/>
        </w:numPr>
      </w:pPr>
      <w:r w:rsidRPr="00A81A90">
        <w:t>Se obtienen los órdenes de p y q que haya generado la serie.</w:t>
      </w:r>
    </w:p>
    <w:p w14:paraId="268331A4" w14:textId="77777777" w:rsidR="00A81A90" w:rsidRPr="00A81A90" w:rsidRDefault="00A81A90" w:rsidP="00A81A90">
      <w:r w:rsidRPr="00A81A90">
        <w:t>Para este apartado se suele utilizar los correlogramas simple (FAC) y correlograma parcial (FAP):</w:t>
      </w:r>
    </w:p>
    <w:p w14:paraId="121431E1" w14:textId="77777777" w:rsidR="00A81A90" w:rsidRPr="00A81A90" w:rsidRDefault="00A81A90" w:rsidP="00A81A90">
      <w:pPr>
        <w:pStyle w:val="Prrafodelista"/>
        <w:numPr>
          <w:ilvl w:val="0"/>
          <w:numId w:val="36"/>
        </w:numPr>
      </w:pPr>
      <w:r w:rsidRPr="00A81A90">
        <w:t xml:space="preserve">El FAC permite determinar el orden de medias móvil </w:t>
      </w:r>
    </w:p>
    <w:p w14:paraId="2BCA3B4A" w14:textId="77777777" w:rsidR="00A81A90" w:rsidRPr="00A81A90" w:rsidRDefault="00A81A90" w:rsidP="00A81A90">
      <w:pPr>
        <w:pStyle w:val="Prrafodelista"/>
        <w:numPr>
          <w:ilvl w:val="0"/>
          <w:numId w:val="36"/>
        </w:numPr>
      </w:pPr>
      <w:r w:rsidRPr="00A81A90">
        <w:t>El FAP ayuda a elegir el orden de factores autorregresivos de la variable dependiente.</w:t>
      </w:r>
    </w:p>
    <w:p w14:paraId="0851425B" w14:textId="77777777" w:rsidR="00A81A90" w:rsidRPr="00A81A90" w:rsidRDefault="00A81A90" w:rsidP="00A81A90">
      <w:r w:rsidRPr="00A81A90">
        <w:t>Cabe mencionar que el rezago que se encuentre fuera de las bandas delimitadas en los autocorrelogramas da indicios de los posibles órdenes que se pueden usar.</w:t>
      </w:r>
    </w:p>
    <w:p w14:paraId="306B4093" w14:textId="77777777" w:rsidR="00A81A90" w:rsidRPr="00A81A90" w:rsidRDefault="00A81A90" w:rsidP="00A81A90">
      <w:pPr>
        <w:pStyle w:val="Prrafodelista"/>
        <w:rPr>
          <w:rFonts w:ascii="Arial" w:hAnsi="Arial" w:cs="Arial"/>
          <w:b/>
          <w:bCs/>
          <w:color w:val="000000" w:themeColor="text1"/>
        </w:rPr>
      </w:pPr>
    </w:p>
    <w:p w14:paraId="1D9924FD" w14:textId="77777777" w:rsidR="00A81A90" w:rsidRPr="00A81A90" w:rsidRDefault="00A81A90" w:rsidP="00A81A90">
      <w:pPr>
        <w:pStyle w:val="Prrafodelista"/>
        <w:numPr>
          <w:ilvl w:val="0"/>
          <w:numId w:val="37"/>
        </w:numPr>
        <w:rPr>
          <w:b/>
          <w:bCs/>
        </w:rPr>
      </w:pPr>
      <w:r w:rsidRPr="00A81A90">
        <w:rPr>
          <w:b/>
          <w:bCs/>
        </w:rPr>
        <w:t xml:space="preserve">Estimación: </w:t>
      </w:r>
      <w:r w:rsidRPr="00A81A90">
        <w:t>En este punto se procede a realizar la inferencia sobre los parámetros, asumiendo que el modelo es el apropiado. Aquí se procede a identificar y cuantificar los parámetros y en caso de necesitarse, el valor de la constante.</w:t>
      </w:r>
    </w:p>
    <w:p w14:paraId="172CD2BB" w14:textId="77777777" w:rsidR="00A81A90" w:rsidRPr="00A81A90" w:rsidRDefault="00A81A90" w:rsidP="00A81A90">
      <w:pPr>
        <w:rPr>
          <w:rFonts w:ascii="Arial" w:hAnsi="Arial" w:cs="Arial"/>
          <w:b/>
          <w:bCs/>
          <w:color w:val="000000" w:themeColor="text1"/>
        </w:rPr>
      </w:pPr>
    </w:p>
    <w:p w14:paraId="2D9D1B17" w14:textId="77777777" w:rsidR="00A81A90" w:rsidRPr="00A81A90" w:rsidRDefault="00A81A90" w:rsidP="00A81A90">
      <w:pPr>
        <w:pStyle w:val="Prrafodelista"/>
        <w:numPr>
          <w:ilvl w:val="0"/>
          <w:numId w:val="37"/>
        </w:numPr>
        <w:spacing w:after="160" w:line="259" w:lineRule="auto"/>
        <w:rPr>
          <w:rFonts w:ascii="Arial" w:hAnsi="Arial" w:cs="Arial"/>
        </w:rPr>
      </w:pPr>
      <w:r w:rsidRPr="00A81A90">
        <w:rPr>
          <w:b/>
          <w:bCs/>
        </w:rPr>
        <w:t>Validación:</w:t>
      </w:r>
      <w:r w:rsidRPr="00A81A90">
        <w:t xml:space="preserve"> Procedemos a realizar contrastes para analizar si el modelo se ajusta a los datos que se están utilizando y, en caso de detectar errores, se procede a buscar soluciones para mejorarlos</w:t>
      </w:r>
      <w:r w:rsidRPr="00A81A90">
        <w:rPr>
          <w:rFonts w:ascii="Arial" w:hAnsi="Arial" w:cs="Arial"/>
          <w:color w:val="000000" w:themeColor="text1"/>
        </w:rPr>
        <w:t>.</w:t>
      </w:r>
    </w:p>
    <w:p w14:paraId="7F24FBF2" w14:textId="77777777" w:rsidR="00A81A90" w:rsidRPr="00A81A90" w:rsidRDefault="00A81A90" w:rsidP="00363082">
      <w:r w:rsidRPr="00A81A90">
        <w:t xml:space="preserve">Así mismo González </w:t>
      </w:r>
      <w:sdt>
        <w:sdtPr>
          <w:id w:val="1108551115"/>
          <w:citation/>
        </w:sdtPr>
        <w:sdtContent>
          <w:r w:rsidRPr="00A81A90">
            <w:fldChar w:fldCharType="begin"/>
          </w:r>
          <w:r w:rsidRPr="00A81A90">
            <w:instrText xml:space="preserve">CITATION Gon09 \n  \t  \l 12298 </w:instrText>
          </w:r>
          <w:r w:rsidRPr="00A81A90">
            <w:fldChar w:fldCharType="separate"/>
          </w:r>
          <w:r w:rsidRPr="00A81A90">
            <w:rPr>
              <w:noProof/>
            </w:rPr>
            <w:t>(2009)</w:t>
          </w:r>
          <w:r w:rsidRPr="00A81A90">
            <w:fldChar w:fldCharType="end"/>
          </w:r>
        </w:sdtContent>
      </w:sdt>
      <w:r w:rsidRPr="00A81A90">
        <w:t xml:space="preserve"> nos explica que en esta etapa se evalúan que tanto se adecúan los modelos a los datos, tomando en cuenta si las estimaciones son significativas y si cumplen con la estacionariedad que deben tener los parámetros obtenidos. Además, se toma en cuenta si es que los residuos del modelo se comportan como ruido blanco o no, mediante la siguiente prueba:</w:t>
      </w:r>
    </w:p>
    <w:p w14:paraId="48E274C4" w14:textId="0DE210F9" w:rsidR="00A81A90" w:rsidRDefault="00A81A90" w:rsidP="00A81A90">
      <w:pPr>
        <w:rPr>
          <w:rFonts w:ascii="Arial" w:hAnsi="Arial" w:cs="Arial"/>
        </w:rPr>
      </w:pPr>
    </w:p>
    <w:p w14:paraId="25C5E1DE" w14:textId="77777777" w:rsidR="00363082" w:rsidRPr="00363082" w:rsidRDefault="00363082" w:rsidP="00363082">
      <w:pPr>
        <w:pStyle w:val="Prrafodelista"/>
        <w:numPr>
          <w:ilvl w:val="0"/>
          <w:numId w:val="25"/>
        </w:numPr>
        <w:rPr>
          <w:b/>
          <w:bCs/>
        </w:rPr>
      </w:pPr>
      <w:r w:rsidRPr="00363082">
        <w:rPr>
          <w:b/>
          <w:bCs/>
        </w:rPr>
        <w:t>Test de Portmanteau</w:t>
      </w:r>
    </w:p>
    <w:p w14:paraId="3376CE14" w14:textId="6BE9E20A" w:rsidR="00363082" w:rsidRDefault="00363082" w:rsidP="00363082">
      <w:r w:rsidRPr="008A6BBA">
        <w:t xml:space="preserve">La prueba de </w:t>
      </w:r>
      <w:r>
        <w:t>P</w:t>
      </w:r>
      <w:r w:rsidRPr="008A6BBA">
        <w:t xml:space="preserve">ortmanteau se basa en el hecho de que si </w:t>
      </w:r>
      <m:oMath>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 xml:space="preserve">,… , x(n) </m:t>
        </m:r>
      </m:oMath>
      <w:r>
        <w:t xml:space="preserve">resultado </w:t>
      </w:r>
      <w:r w:rsidRPr="008A6BBA">
        <w:t>de un proceso de ruido blanco</w:t>
      </w:r>
      <w:r>
        <w:t>, e</w:t>
      </w:r>
      <w:r w:rsidRPr="008A6BBA">
        <w:t>ntonces</w:t>
      </w:r>
      <w:r>
        <w:t>:</w:t>
      </w:r>
    </w:p>
    <w:p w14:paraId="16392098" w14:textId="77777777" w:rsidR="00363082" w:rsidRPr="008A6BBA" w:rsidRDefault="00363082" w:rsidP="00363082">
      <w:pPr>
        <w:rPr>
          <w:rFonts w:ascii="Arial" w:hAnsi="Arial" w:cs="Arial"/>
        </w:rPr>
      </w:pPr>
      <m:oMathPara>
        <m:oMath>
          <m:r>
            <w:rPr>
              <w:rFonts w:ascii="Cambria Math" w:hAnsi="Cambria Math" w:cs="Arial"/>
            </w:rPr>
            <m:t>Q=n</m:t>
          </m:r>
          <m:d>
            <m:dPr>
              <m:ctrlPr>
                <w:rPr>
                  <w:rFonts w:ascii="Cambria Math" w:hAnsi="Cambria Math" w:cs="Arial"/>
                  <w:i/>
                </w:rPr>
              </m:ctrlPr>
            </m:dPr>
            <m:e>
              <m:r>
                <w:rPr>
                  <w:rFonts w:ascii="Cambria Math" w:hAnsi="Cambria Math" w:cs="Arial"/>
                </w:rPr>
                <m:t>n+2</m:t>
              </m:r>
            </m:e>
          </m:d>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m</m:t>
              </m:r>
            </m:sup>
            <m:e>
              <m:f>
                <m:fPr>
                  <m:ctrlPr>
                    <w:rPr>
                      <w:rFonts w:ascii="Cambria Math" w:hAnsi="Cambria Math" w:cs="Arial"/>
                      <w:i/>
                    </w:rPr>
                  </m:ctrlPr>
                </m:fPr>
                <m:num>
                  <m:r>
                    <w:rPr>
                      <w:rFonts w:ascii="Cambria Math" w:hAnsi="Cambria Math" w:cs="Arial"/>
                    </w:rPr>
                    <m:t>1</m:t>
                  </m:r>
                </m:num>
                <m:den>
                  <m:r>
                    <w:rPr>
                      <w:rFonts w:ascii="Cambria Math" w:hAnsi="Cambria Math" w:cs="Arial"/>
                    </w:rPr>
                    <m:t>n-j</m:t>
                  </m:r>
                </m:den>
              </m:f>
            </m:e>
          </m:nary>
          <m:acc>
            <m:accPr>
              <m:ctrlPr>
                <w:rPr>
                  <w:rFonts w:ascii="Cambria Math" w:hAnsi="Cambria Math" w:cs="Arial"/>
                  <w:i/>
                </w:rPr>
              </m:ctrlPr>
            </m:accPr>
            <m:e>
              <m:sSup>
                <m:sSupPr>
                  <m:ctrlPr>
                    <w:rPr>
                      <w:rFonts w:ascii="Cambria Math" w:hAnsi="Cambria Math" w:cs="Arial"/>
                      <w:i/>
                    </w:rPr>
                  </m:ctrlPr>
                </m:sSupPr>
                <m:e>
                  <m:r>
                    <w:rPr>
                      <w:rFonts w:ascii="Cambria Math" w:hAnsi="Cambria Math" w:cs="Arial"/>
                    </w:rPr>
                    <m:t>ρ</m:t>
                  </m:r>
                </m:e>
                <m:sup>
                  <m:r>
                    <w:rPr>
                      <w:rFonts w:ascii="Cambria Math" w:hAnsi="Cambria Math" w:cs="Arial"/>
                    </w:rPr>
                    <m:t>2</m:t>
                  </m:r>
                </m:sup>
              </m:sSup>
            </m:e>
          </m:acc>
          <m:d>
            <m:dPr>
              <m:ctrlPr>
                <w:rPr>
                  <w:rFonts w:ascii="Cambria Math" w:hAnsi="Cambria Math" w:cs="Arial"/>
                  <w:i/>
                </w:rPr>
              </m:ctrlPr>
            </m:dPr>
            <m:e>
              <m:r>
                <w:rPr>
                  <w:rFonts w:ascii="Cambria Math" w:hAnsi="Cambria Math" w:cs="Arial"/>
                </w:rPr>
                <m:t>j</m:t>
              </m:r>
            </m:e>
          </m:d>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χ</m:t>
              </m:r>
            </m:e>
            <m:sub>
              <m:r>
                <w:rPr>
                  <w:rFonts w:ascii="Cambria Math" w:hAnsi="Cambria Math" w:cs="Arial"/>
                </w:rPr>
                <m:t>m</m:t>
              </m:r>
            </m:sub>
            <m:sup>
              <m:r>
                <w:rPr>
                  <w:rFonts w:ascii="Cambria Math" w:hAnsi="Cambria Math" w:cs="Arial"/>
                </w:rPr>
                <m:t>2</m:t>
              </m:r>
            </m:sup>
          </m:sSubSup>
        </m:oMath>
      </m:oMathPara>
    </w:p>
    <w:p w14:paraId="3A5BF371" w14:textId="5EAE478B" w:rsidR="00363082" w:rsidRDefault="00363082" w:rsidP="00363082">
      <w:pPr>
        <w:rPr>
          <w:rFonts w:eastAsiaTheme="minorEastAsia"/>
        </w:rPr>
      </w:pPr>
      <w:r w:rsidRPr="008A6BBA">
        <w:lastRenderedPageBreak/>
        <w:t xml:space="preserve">donde m es el número de autocorrelaciones calculadas (igual al número de rezagos especificados) </w:t>
      </w:r>
      <w:r>
        <w:t xml:space="preserve">e indica convergencia a una distribución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con m grados de libertad. </w:t>
      </w:r>
      <w:sdt>
        <w:sdtPr>
          <w:rPr>
            <w:rFonts w:eastAsiaTheme="minorEastAsia"/>
          </w:rPr>
          <w:id w:val="2099519288"/>
          <w:citation/>
        </w:sdtPr>
        <w:sdtContent>
          <w:r>
            <w:rPr>
              <w:rFonts w:eastAsiaTheme="minorEastAsia"/>
            </w:rPr>
            <w:fldChar w:fldCharType="begin"/>
          </w:r>
          <w:r>
            <w:rPr>
              <w:rFonts w:eastAsiaTheme="minorEastAsia"/>
            </w:rPr>
            <w:instrText xml:space="preserve"> CITATION sta \l 12298 </w:instrText>
          </w:r>
          <w:r>
            <w:rPr>
              <w:rFonts w:eastAsiaTheme="minorEastAsia"/>
            </w:rPr>
            <w:fldChar w:fldCharType="separate"/>
          </w:r>
          <w:r w:rsidRPr="008A6BBA">
            <w:rPr>
              <w:rFonts w:eastAsiaTheme="minorEastAsia"/>
              <w:noProof/>
            </w:rPr>
            <w:t>(stata, s.f.)</w:t>
          </w:r>
          <w:r>
            <w:rPr>
              <w:rFonts w:eastAsiaTheme="minorEastAsia"/>
            </w:rPr>
            <w:fldChar w:fldCharType="end"/>
          </w:r>
        </w:sdtContent>
      </w:sdt>
    </w:p>
    <w:p w14:paraId="5EFB888B" w14:textId="28F38051" w:rsidR="00363082" w:rsidRDefault="00363082" w:rsidP="00363082">
      <w:r>
        <w:t xml:space="preserve">Se testea la </w:t>
      </w:r>
      <m:oMath>
        <m:r>
          <w:rPr>
            <w:rFonts w:ascii="Cambria Math" w:hAnsi="Cambria Math"/>
          </w:rPr>
          <m:t>H0:errores siguen un proceso de ruido blanco</m:t>
        </m:r>
      </m:oMath>
      <w:r>
        <w:rPr>
          <w:rFonts w:eastAsiaTheme="minorEastAsia"/>
        </w:rPr>
        <w:t xml:space="preserve">, es de interés no rechazar esta hipótesis. </w:t>
      </w:r>
    </w:p>
    <w:p w14:paraId="32A654CD" w14:textId="77777777" w:rsidR="00A81A90" w:rsidRPr="00A81A90" w:rsidRDefault="00A81A90" w:rsidP="00A81A90">
      <w:pPr>
        <w:rPr>
          <w:rFonts w:ascii="Arial" w:hAnsi="Arial" w:cs="Arial"/>
        </w:rPr>
      </w:pPr>
    </w:p>
    <w:p w14:paraId="32100EE5" w14:textId="77777777" w:rsidR="00A81A90" w:rsidRPr="00A81A90" w:rsidRDefault="00A81A90" w:rsidP="00363082">
      <w:pPr>
        <w:pStyle w:val="Prrafodelista"/>
        <w:numPr>
          <w:ilvl w:val="0"/>
          <w:numId w:val="42"/>
        </w:numPr>
      </w:pPr>
      <w:r w:rsidRPr="00363082">
        <w:rPr>
          <w:b/>
          <w:bCs/>
        </w:rPr>
        <w:t xml:space="preserve">Predicción: </w:t>
      </w:r>
      <w:r w:rsidRPr="00A81A90">
        <w:t>Se busca obtener los pronósticos en términos de probabilidades de los valores a estimar con respecto a la variable en cuestión. Además, se trata de determinar la capacidad de predecir que tenga el modelo que se utilice, una medida de calidad de pronóstico es:</w:t>
      </w:r>
    </w:p>
    <w:p w14:paraId="2D18398A" w14:textId="77777777" w:rsidR="00A81A90" w:rsidRPr="00A81A90" w:rsidRDefault="00A81A90" w:rsidP="00363082">
      <w:pPr>
        <w:rPr>
          <w:rFonts w:eastAsiaTheme="minorEastAsia"/>
        </w:rPr>
      </w:pPr>
      <w:r w:rsidRPr="00A81A90">
        <w:rPr>
          <w:bCs/>
        </w:rPr>
        <w:t>U de Theil:</w:t>
      </w:r>
      <w:r w:rsidRPr="00A81A90">
        <w:rPr>
          <w:b/>
          <w:bCs/>
        </w:rPr>
        <w:t xml:space="preserve"> </w:t>
      </w:r>
      <w:r w:rsidRPr="00A81A90">
        <w:t xml:space="preserve">Este estadístico permite calcular un coeficiente de desigualdad usado para medir la capacidad de predicción de los modelos. Se calcula a partir de las tasas de crecimiento de los porcentajes de variación de los valores de </w:t>
      </w:r>
      <m:oMath>
        <m:acc>
          <m:accPr>
            <m:ctrlPr>
              <w:rPr>
                <w:rFonts w:ascii="Cambria Math" w:hAnsi="Cambria Math"/>
                <w:i/>
              </w:rPr>
            </m:ctrlPr>
          </m:accPr>
          <m:e>
            <m:r>
              <w:rPr>
                <w:rFonts w:ascii="Cambria Math" w:hAnsi="Cambria Math"/>
              </w:rPr>
              <m:t>y</m:t>
            </m:r>
          </m:e>
        </m:acc>
      </m:oMath>
      <w:r w:rsidRPr="00A81A90">
        <w:rPr>
          <w:rFonts w:eastAsiaTheme="minorEastAsia"/>
        </w:rPr>
        <w:t xml:space="preserve"> y también de </w:t>
      </w:r>
      <m:oMath>
        <m:r>
          <w:rPr>
            <w:rFonts w:ascii="Cambria Math" w:hAnsi="Cambria Math"/>
          </w:rPr>
          <m:t>y</m:t>
        </m:r>
      </m:oMath>
      <w:r w:rsidRPr="00A81A90">
        <w:rPr>
          <w:rFonts w:eastAsiaTheme="minorEastAsia"/>
        </w:rPr>
        <w:t xml:space="preserve">. </w:t>
      </w:r>
    </w:p>
    <w:p w14:paraId="15642E83" w14:textId="77777777" w:rsidR="00A81A90" w:rsidRPr="00A81A90" w:rsidRDefault="00A81A90" w:rsidP="00A81A90">
      <w:pPr>
        <w:ind w:left="708"/>
        <w:rPr>
          <w:rFonts w:ascii="Arial" w:eastAsiaTheme="minorEastAsia" w:hAnsi="Arial" w:cs="Arial"/>
          <w:color w:val="000000" w:themeColor="text1"/>
        </w:rPr>
      </w:pPr>
      <m:oMathPara>
        <m:oMath>
          <m:r>
            <w:rPr>
              <w:rFonts w:ascii="Cambria Math" w:hAnsi="Cambria Math" w:cs="Arial"/>
              <w:color w:val="000000" w:themeColor="text1"/>
            </w:rPr>
            <m:t>U=</m:t>
          </m:r>
          <m:f>
            <m:fPr>
              <m:ctrlPr>
                <w:rPr>
                  <w:rFonts w:ascii="Cambria Math" w:hAnsi="Cambria Math" w:cs="Arial"/>
                  <w:i/>
                  <w:color w:val="000000" w:themeColor="text1"/>
                </w:rPr>
              </m:ctrlPr>
            </m:fPr>
            <m:num>
              <m:rad>
                <m:radPr>
                  <m:degHide m:val="1"/>
                  <m:ctrlPr>
                    <w:rPr>
                      <w:rFonts w:ascii="Cambria Math" w:hAnsi="Cambria Math" w:cs="Arial"/>
                      <w:i/>
                      <w:color w:val="000000" w:themeColor="text1"/>
                    </w:rPr>
                  </m:ctrlPr>
                </m:radPr>
                <m:deg/>
                <m:e>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n</m:t>
                      </m:r>
                    </m:den>
                  </m:f>
                  <m:nary>
                    <m:naryPr>
                      <m:chr m:val="∑"/>
                      <m:limLoc m:val="undOvr"/>
                      <m:subHide m:val="1"/>
                      <m:supHide m:val="1"/>
                      <m:ctrlPr>
                        <w:rPr>
                          <w:rFonts w:ascii="Cambria Math" w:hAnsi="Cambria Math" w:cs="Arial"/>
                          <w:i/>
                          <w:color w:val="000000" w:themeColor="text1"/>
                        </w:rPr>
                      </m:ctrlPr>
                    </m:naryPr>
                    <m:sub/>
                    <m:sup/>
                    <m:e>
                      <m:sSup>
                        <m:sSupPr>
                          <m:ctrlPr>
                            <w:rPr>
                              <w:rFonts w:ascii="Cambria Math" w:hAnsi="Cambria Math" w:cs="Arial"/>
                              <w:i/>
                              <w:color w:val="000000" w:themeColor="text1"/>
                            </w:rPr>
                          </m:ctrlPr>
                        </m:sSupPr>
                        <m:e>
                          <m:d>
                            <m:dPr>
                              <m:ctrlPr>
                                <w:rPr>
                                  <w:rFonts w:ascii="Cambria Math" w:hAnsi="Cambria Math" w:cs="Arial"/>
                                  <w:i/>
                                  <w:color w:val="000000" w:themeColor="text1"/>
                                </w:rPr>
                              </m:ctrlPr>
                            </m:dPr>
                            <m:e>
                              <m:acc>
                                <m:accPr>
                                  <m:ctrlPr>
                                    <w:rPr>
                                      <w:rFonts w:ascii="Cambria Math" w:hAnsi="Cambria Math" w:cs="Arial"/>
                                      <w:i/>
                                      <w:color w:val="000000" w:themeColor="text1"/>
                                    </w:rPr>
                                  </m:ctrlPr>
                                </m:accPr>
                                <m:e>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e>
                              </m:acc>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e>
                          </m:d>
                        </m:e>
                        <m:sup>
                          <m:r>
                            <w:rPr>
                              <w:rFonts w:ascii="Cambria Math" w:hAnsi="Cambria Math" w:cs="Arial"/>
                              <w:color w:val="000000" w:themeColor="text1"/>
                            </w:rPr>
                            <m:t>2</m:t>
                          </m:r>
                        </m:sup>
                      </m:sSup>
                    </m:e>
                  </m:nary>
                </m:e>
              </m:rad>
            </m:num>
            <m:den>
              <m:rad>
                <m:radPr>
                  <m:degHide m:val="1"/>
                  <m:ctrlPr>
                    <w:rPr>
                      <w:rFonts w:ascii="Cambria Math" w:hAnsi="Cambria Math" w:cs="Arial"/>
                      <w:i/>
                      <w:color w:val="000000" w:themeColor="text1"/>
                    </w:rPr>
                  </m:ctrlPr>
                </m:radPr>
                <m:deg/>
                <m:e>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n</m:t>
                      </m:r>
                    </m:den>
                  </m:f>
                  <m:nary>
                    <m:naryPr>
                      <m:chr m:val="∑"/>
                      <m:limLoc m:val="undOvr"/>
                      <m:subHide m:val="1"/>
                      <m:supHide m:val="1"/>
                      <m:ctrlPr>
                        <w:rPr>
                          <w:rFonts w:ascii="Cambria Math" w:hAnsi="Cambria Math" w:cs="Arial"/>
                          <w:i/>
                          <w:color w:val="000000" w:themeColor="text1"/>
                        </w:rPr>
                      </m:ctrlPr>
                    </m:naryPr>
                    <m:sub/>
                    <m:sup/>
                    <m:e>
                      <m:sSup>
                        <m:sSupPr>
                          <m:ctrlPr>
                            <w:rPr>
                              <w:rFonts w:ascii="Cambria Math" w:hAnsi="Cambria Math" w:cs="Arial"/>
                              <w:i/>
                              <w:color w:val="000000" w:themeColor="text1"/>
                            </w:rPr>
                          </m:ctrlPr>
                        </m:sSupPr>
                        <m:e>
                          <m:d>
                            <m:dPr>
                              <m:ctrlPr>
                                <w:rPr>
                                  <w:rFonts w:ascii="Cambria Math" w:hAnsi="Cambria Math" w:cs="Arial"/>
                                  <w:i/>
                                  <w:color w:val="000000" w:themeColor="text1"/>
                                </w:rPr>
                              </m:ctrlPr>
                            </m:dPr>
                            <m:e>
                              <m:acc>
                                <m:accPr>
                                  <m:ctrlPr>
                                    <w:rPr>
                                      <w:rFonts w:ascii="Cambria Math" w:hAnsi="Cambria Math" w:cs="Arial"/>
                                      <w:i/>
                                      <w:color w:val="000000" w:themeColor="text1"/>
                                    </w:rPr>
                                  </m:ctrlPr>
                                </m:accPr>
                                <m:e>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e>
                              </m:acc>
                            </m:e>
                          </m:d>
                        </m:e>
                        <m:sup>
                          <m:r>
                            <w:rPr>
                              <w:rFonts w:ascii="Cambria Math" w:hAnsi="Cambria Math" w:cs="Arial"/>
                              <w:color w:val="000000" w:themeColor="text1"/>
                            </w:rPr>
                            <m:t>2</m:t>
                          </m:r>
                        </m:sup>
                      </m:sSup>
                    </m:e>
                  </m:nary>
                </m:e>
              </m:rad>
              <m:r>
                <w:rPr>
                  <w:rFonts w:ascii="Cambria Math" w:hAnsi="Cambria Math" w:cs="Arial"/>
                  <w:color w:val="000000" w:themeColor="text1"/>
                </w:rPr>
                <m:t>+</m:t>
              </m:r>
              <m:rad>
                <m:radPr>
                  <m:degHide m:val="1"/>
                  <m:ctrlPr>
                    <w:rPr>
                      <w:rFonts w:ascii="Cambria Math" w:hAnsi="Cambria Math" w:cs="Arial"/>
                      <w:i/>
                      <w:color w:val="000000" w:themeColor="text1"/>
                    </w:rPr>
                  </m:ctrlPr>
                </m:radPr>
                <m:deg/>
                <m:e>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n</m:t>
                      </m:r>
                    </m:den>
                  </m:f>
                  <m:nary>
                    <m:naryPr>
                      <m:chr m:val="∑"/>
                      <m:limLoc m:val="undOvr"/>
                      <m:subHide m:val="1"/>
                      <m:supHide m:val="1"/>
                      <m:ctrlPr>
                        <w:rPr>
                          <w:rFonts w:ascii="Cambria Math" w:hAnsi="Cambria Math" w:cs="Arial"/>
                          <w:i/>
                          <w:color w:val="000000" w:themeColor="text1"/>
                        </w:rPr>
                      </m:ctrlPr>
                    </m:naryPr>
                    <m:sub/>
                    <m:sup/>
                    <m:e>
                      <m:sSup>
                        <m:sSupPr>
                          <m:ctrlPr>
                            <w:rPr>
                              <w:rFonts w:ascii="Cambria Math" w:hAnsi="Cambria Math" w:cs="Arial"/>
                              <w:i/>
                              <w:color w:val="000000" w:themeColor="text1"/>
                            </w:rPr>
                          </m:ctrlPr>
                        </m:sSupPr>
                        <m:e>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e>
                          </m:d>
                        </m:e>
                        <m:sup>
                          <m:r>
                            <w:rPr>
                              <w:rFonts w:ascii="Cambria Math" w:hAnsi="Cambria Math" w:cs="Arial"/>
                              <w:color w:val="000000" w:themeColor="text1"/>
                            </w:rPr>
                            <m:t>2</m:t>
                          </m:r>
                        </m:sup>
                      </m:sSup>
                    </m:e>
                  </m:nary>
                </m:e>
              </m:rad>
            </m:den>
          </m:f>
        </m:oMath>
      </m:oMathPara>
    </w:p>
    <w:p w14:paraId="3F592717" w14:textId="77777777" w:rsidR="00A81A90" w:rsidRPr="00A81A90" w:rsidRDefault="00A81A90" w:rsidP="00A81A90">
      <w:pPr>
        <w:ind w:left="708"/>
        <w:rPr>
          <w:rFonts w:ascii="Arial" w:hAnsi="Arial" w:cs="Arial"/>
          <w:color w:val="000000" w:themeColor="text1"/>
        </w:rPr>
      </w:pPr>
    </w:p>
    <w:p w14:paraId="5A3D6C7A" w14:textId="77777777" w:rsidR="00A81A90" w:rsidRPr="00A81A90" w:rsidRDefault="00A81A90" w:rsidP="006E1519">
      <w:r w:rsidRPr="00A81A90">
        <w:t xml:space="preserve">El valor varía entre 0 y 1, siendo 0 el hecho de que no existe ningún tipo de desigualdad, y 1 existe desigualdad máxima. </w:t>
      </w:r>
      <w:sdt>
        <w:sdtPr>
          <w:id w:val="76331408"/>
          <w:citation/>
        </w:sdtPr>
        <w:sdtContent>
          <w:r w:rsidRPr="00A81A90">
            <w:fldChar w:fldCharType="begin"/>
          </w:r>
          <w:r w:rsidRPr="00A81A90">
            <w:instrText xml:space="preserve"> CITATION sta \l 12298 </w:instrText>
          </w:r>
          <w:r w:rsidRPr="00A81A90">
            <w:fldChar w:fldCharType="separate"/>
          </w:r>
          <w:r w:rsidRPr="00A81A90">
            <w:rPr>
              <w:noProof/>
            </w:rPr>
            <w:t>(stata, s.f.)</w:t>
          </w:r>
          <w:r w:rsidRPr="00A81A90">
            <w:fldChar w:fldCharType="end"/>
          </w:r>
        </w:sdtContent>
      </w:sdt>
      <w:r w:rsidRPr="00A81A90">
        <w:t>.</w:t>
      </w:r>
    </w:p>
    <w:p w14:paraId="01777D55" w14:textId="2E40E0F4" w:rsidR="00A81A90" w:rsidRDefault="00A81A90" w:rsidP="00363082">
      <w:r w:rsidRPr="00A81A90">
        <w:t xml:space="preserve">La metodología presentada anteriormente se basa en el principio de selección de un modelo en forma iterativa, lo cual nos permite volver a las etapas previas y, en el principio de parsimonia, lo cual implica crear un modelo que pueda representar la serie con el mínimo de parámetros posibles y solamente ampliarlos en caso de que en realidad se necesite explicar cómo se está comportando una serie determinada. </w:t>
      </w:r>
      <w:sdt>
        <w:sdtPr>
          <w:id w:val="603764735"/>
          <w:citation/>
        </w:sdtPr>
        <w:sdtContent>
          <w:r w:rsidRPr="00A81A90">
            <w:fldChar w:fldCharType="begin"/>
          </w:r>
          <w:r w:rsidRPr="00A81A90">
            <w:instrText xml:space="preserve"> CITATION Gon09 \l 12298 </w:instrText>
          </w:r>
          <w:r w:rsidRPr="00A81A90">
            <w:fldChar w:fldCharType="separate"/>
          </w:r>
          <w:r w:rsidRPr="00A81A90">
            <w:rPr>
              <w:noProof/>
            </w:rPr>
            <w:t>(González C., 2009)</w:t>
          </w:r>
          <w:r w:rsidRPr="00A81A90">
            <w:fldChar w:fldCharType="end"/>
          </w:r>
        </w:sdtContent>
      </w:sdt>
    </w:p>
    <w:p w14:paraId="0A02B5A7" w14:textId="77777777" w:rsidR="00363082" w:rsidRPr="00A81A90" w:rsidRDefault="00363082" w:rsidP="00363082"/>
    <w:p w14:paraId="600FE6C4" w14:textId="77777777" w:rsidR="00A81A90" w:rsidRPr="00A81A90" w:rsidRDefault="00A81A90" w:rsidP="00363082">
      <w:r w:rsidRPr="00A81A90">
        <w:t xml:space="preserve">Por otro lado, Pincheira &amp; García </w:t>
      </w:r>
      <w:sdt>
        <w:sdtPr>
          <w:rPr>
            <w:b/>
            <w:bCs/>
          </w:rPr>
          <w:id w:val="1545414266"/>
          <w:citation/>
        </w:sdtPr>
        <w:sdtContent>
          <w:r w:rsidRPr="00A81A90">
            <w:rPr>
              <w:b/>
              <w:bCs/>
            </w:rPr>
            <w:fldChar w:fldCharType="begin"/>
          </w:r>
          <w:r w:rsidRPr="00A81A90">
            <w:rPr>
              <w:b/>
              <w:bCs/>
            </w:rPr>
            <w:instrText xml:space="preserve">CITATION Pin19 \n  \t  \l 12298 </w:instrText>
          </w:r>
          <w:r w:rsidRPr="00A81A90">
            <w:rPr>
              <w:b/>
              <w:bCs/>
            </w:rPr>
            <w:fldChar w:fldCharType="separate"/>
          </w:r>
          <w:r w:rsidRPr="00A81A90">
            <w:rPr>
              <w:noProof/>
            </w:rPr>
            <w:t>(2019)</w:t>
          </w:r>
          <w:r w:rsidRPr="00A81A90">
            <w:rPr>
              <w:b/>
              <w:bCs/>
            </w:rPr>
            <w:fldChar w:fldCharType="end"/>
          </w:r>
        </w:sdtContent>
      </w:sdt>
      <w:r w:rsidRPr="00A81A90">
        <w:rPr>
          <w:b/>
          <w:bCs/>
        </w:rPr>
        <w:t xml:space="preserve"> </w:t>
      </w:r>
      <w:r w:rsidRPr="00A81A90">
        <w:t xml:space="preserve"> explican que los modelos “SARIMA son una extensión natural de los modelos ARIMA para modelar series de tiempo con patrón estacional. Estos modelos resuelven la incapacidad de los modelos ARIMA para caracterizar las funciones de autocorrelación (ACF) de procesos estacionales”. Por tanto, una serie sigue un proceso SARIMA (p,d,q)x(P,D,Q) si satisface a:</w:t>
      </w:r>
    </w:p>
    <w:p w14:paraId="5D14D295" w14:textId="77777777" w:rsidR="00A81A90" w:rsidRPr="00A81A90" w:rsidRDefault="00A81A90" w:rsidP="00A81A90">
      <w:pPr>
        <w:rPr>
          <w:rFonts w:ascii="Arial" w:hAnsi="Arial" w:cs="Arial"/>
          <w:color w:val="000000" w:themeColor="text1"/>
        </w:rPr>
      </w:pPr>
    </w:p>
    <w:p w14:paraId="02DF7A38" w14:textId="77777777" w:rsidR="00A81A90" w:rsidRPr="00A81A90" w:rsidRDefault="00A81A90" w:rsidP="00363082">
      <w:pPr>
        <w:rPr>
          <w:rFonts w:ascii="Arial" w:eastAsiaTheme="minorEastAsia" w:hAnsi="Arial"/>
        </w:rPr>
      </w:pPr>
      <m:oMathPara>
        <m:oMath>
          <m:r>
            <m:rPr>
              <m:sty m:val="p"/>
            </m:rPr>
            <w:rPr>
              <w:rFonts w:ascii="Cambria Math" w:hAnsi="Cambria Math"/>
            </w:rPr>
            <m:t>Φ</m:t>
          </m:r>
          <m:d>
            <m:dPr>
              <m:ctrlPr>
                <w:rPr>
                  <w:rFonts w:ascii="Cambria Math" w:hAnsi="Cambria Math"/>
                </w:rPr>
              </m:ctrlPr>
            </m:dPr>
            <m:e>
              <m:r>
                <m:rPr>
                  <m:sty m:val="p"/>
                </m:rPr>
                <w:rPr>
                  <w:rFonts w:ascii="Cambria Math" w:hAnsi="Cambria Math"/>
                </w:rPr>
                <m:t>L</m:t>
              </m:r>
            </m:e>
          </m:d>
          <m:sSub>
            <m:sSubPr>
              <m:ctrlPr>
                <w:rPr>
                  <w:rFonts w:ascii="Cambria Math" w:hAnsi="Cambria Math"/>
                </w:rPr>
              </m:ctrlPr>
            </m:sSubPr>
            <m:e>
              <m:r>
                <m:rPr>
                  <m:sty m:val="p"/>
                </m:rPr>
                <w:rPr>
                  <w:rFonts w:ascii="Cambria Math" w:hAnsi="Cambria Math"/>
                </w:rPr>
                <m:t>Φ</m:t>
              </m:r>
            </m:e>
            <m:sub>
              <m:r>
                <m:rPr>
                  <m:sty m:val="p"/>
                </m:rPr>
                <w:rPr>
                  <w:rFonts w:ascii="Cambria Math" w:hAnsi="Cambria Math"/>
                </w:rPr>
                <m:t>E</m:t>
              </m:r>
            </m:sub>
          </m:sSub>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s</m:t>
                  </m:r>
                </m:sup>
              </m:sSup>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L</m:t>
                  </m:r>
                </m:e>
              </m:d>
            </m:e>
            <m:sup>
              <m:r>
                <w:rPr>
                  <w:rFonts w:ascii="Cambria Math" w:hAnsi="Cambria Math"/>
                </w:rPr>
                <m:t>d</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L</m:t>
                      </m:r>
                    </m:e>
                    <m:sup>
                      <m:r>
                        <w:rPr>
                          <w:rFonts w:ascii="Cambria Math" w:hAnsi="Cambria Math"/>
                        </w:rPr>
                        <m:t>s</m:t>
                      </m:r>
                    </m:sup>
                  </m:sSup>
                </m:e>
              </m:d>
            </m:e>
            <m:sup>
              <m:r>
                <w:rPr>
                  <w:rFonts w:ascii="Cambria Math" w:hAnsi="Cambria Math"/>
                </w:rPr>
                <m:t>D</m:t>
              </m:r>
            </m:sup>
          </m:sSup>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E</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L</m:t>
                  </m:r>
                </m:e>
                <m:sup>
                  <m:r>
                    <m:rPr>
                      <m:sty m:val="p"/>
                    </m:rPr>
                    <w:rPr>
                      <w:rFonts w:ascii="Cambria Math" w:hAnsi="Cambria Math"/>
                    </w:rPr>
                    <m:t>s</m:t>
                  </m:r>
                </m:sup>
              </m:sSup>
            </m:e>
          </m:d>
          <m:r>
            <m:rPr>
              <m:sty m:val="p"/>
            </m:rPr>
            <w:rPr>
              <w:rFonts w:ascii="Cambria Math" w:hAnsi="Cambria Math"/>
            </w:rPr>
            <m:t>Θ</m:t>
          </m:r>
          <m:d>
            <m:dPr>
              <m:ctrlPr>
                <w:rPr>
                  <w:rFonts w:ascii="Cambria Math" w:hAnsi="Cambria Math"/>
                </w:rPr>
              </m:ctrlPr>
            </m:dPr>
            <m:e>
              <m:r>
                <m:rPr>
                  <m:sty m:val="p"/>
                </m:rPr>
                <w:rPr>
                  <w:rFonts w:ascii="Cambria Math" w:hAnsi="Cambria Math"/>
                </w:rPr>
                <m:t>L</m:t>
              </m:r>
            </m:e>
          </m:d>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p w14:paraId="526072E3" w14:textId="77777777" w:rsidR="00A81A90" w:rsidRPr="00A81A90" w:rsidRDefault="00A81A90" w:rsidP="00363082">
      <w:pPr>
        <w:rPr>
          <w:rFonts w:ascii="Arial" w:eastAsiaTheme="minorEastAsia" w:hAnsi="Arial"/>
        </w:rPr>
      </w:pPr>
      <m:oMathPara>
        <m:oMath>
          <m:r>
            <m:rPr>
              <m:sty m:val="p"/>
            </m:rPr>
            <w:rPr>
              <w:rFonts w:ascii="Cambria Math" w:hAnsi="Cambria Math"/>
            </w:rPr>
            <w:lastRenderedPageBreak/>
            <m:t>Φ</m:t>
          </m:r>
          <m:d>
            <m:dPr>
              <m:ctrlPr>
                <w:rPr>
                  <w:rFonts w:ascii="Cambria Math" w:hAnsi="Cambria Math"/>
                </w:rPr>
              </m:ctrlPr>
            </m:dPr>
            <m:e>
              <m:r>
                <m:rPr>
                  <m:sty m:val="p"/>
                </m:rPr>
                <w:rPr>
                  <w:rFonts w:ascii="Cambria Math" w:hAnsi="Cambria Math"/>
                </w:rPr>
                <m:t>L</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sSup>
                <m:sSupPr>
                  <m:ctrlPr>
                    <w:rPr>
                      <w:rFonts w:ascii="Cambria Math" w:hAnsi="Cambria Math"/>
                    </w:rPr>
                  </m:ctrlPr>
                </m:sSupPr>
                <m:e>
                  <m:r>
                    <w:rPr>
                      <w:rFonts w:ascii="Cambria Math" w:hAnsi="Cambria Math"/>
                    </w:rPr>
                    <m:t>L</m:t>
                  </m:r>
                </m:e>
                <m:sup>
                  <m:r>
                    <m:rPr>
                      <m:sty m:val="p"/>
                    </m:rPr>
                    <w:rPr>
                      <w:rFonts w:ascii="Cambria Math" w:hAnsi="Cambria Math"/>
                    </w:rPr>
                    <m:t>2</m:t>
                  </m:r>
                </m:sup>
              </m:sSup>
              <m:r>
                <m:rPr>
                  <m:sty m:val="p"/>
                </m:rPr>
                <w:rPr>
                  <w:rFonts w:ascii="Cambria Math" w:eastAsiaTheme="minorEastAsia"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sSup>
                <m:sSupPr>
                  <m:ctrlPr>
                    <w:rPr>
                      <w:rFonts w:ascii="Cambria Math" w:hAnsi="Cambria Math"/>
                    </w:rPr>
                  </m:ctrlPr>
                </m:sSupPr>
                <m:e>
                  <m:r>
                    <w:rPr>
                      <w:rFonts w:ascii="Cambria Math" w:hAnsi="Cambria Math"/>
                    </w:rPr>
                    <m:t>L</m:t>
                  </m:r>
                </m:e>
                <m:sup>
                  <m:r>
                    <w:rPr>
                      <w:rFonts w:ascii="Cambria Math" w:hAnsi="Cambria Math"/>
                    </w:rPr>
                    <m:t>p</m:t>
                  </m:r>
                </m:sup>
              </m:sSup>
            </m:e>
          </m:d>
        </m:oMath>
      </m:oMathPara>
    </w:p>
    <w:p w14:paraId="59243F50" w14:textId="77777777" w:rsidR="00A81A90" w:rsidRPr="00A81A90" w:rsidRDefault="00A81A90" w:rsidP="00363082">
      <w:pPr>
        <w:rPr>
          <w:rFonts w:ascii="Arial" w:eastAsiaTheme="minorEastAsia" w:hAnsi="Arial"/>
        </w:rPr>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E</m:t>
              </m:r>
            </m:sub>
          </m:sSub>
          <m:d>
            <m:dPr>
              <m:ctrlPr>
                <w:rPr>
                  <w:rFonts w:ascii="Cambria Math" w:hAnsi="Cambria Math"/>
                </w:rPr>
              </m:ctrlPr>
            </m:dPr>
            <m:e>
              <m:sSup>
                <m:sSupPr>
                  <m:ctrlPr>
                    <w:rPr>
                      <w:rFonts w:ascii="Cambria Math" w:hAnsi="Cambria Math"/>
                    </w:rPr>
                  </m:ctrlPr>
                </m:sSupPr>
                <m:e>
                  <m:r>
                    <w:rPr>
                      <w:rFonts w:ascii="Cambria Math" w:hAnsi="Cambria Math"/>
                    </w:rPr>
                    <m:t>L</m:t>
                  </m:r>
                </m:e>
                <m:sup>
                  <m:r>
                    <w:rPr>
                      <w:rFonts w:ascii="Cambria Math" w:hAnsi="Cambria Math"/>
                    </w:rPr>
                    <m:t>s</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ϕ</m:t>
                  </m:r>
                </m:e>
                <m:sub>
                  <m:r>
                    <m:rPr>
                      <m:sty m:val="p"/>
                    </m:rPr>
                    <w:rPr>
                      <w:rFonts w:ascii="Cambria Math" w:hAnsi="Cambria Math"/>
                    </w:rPr>
                    <m:t>1</m:t>
                  </m:r>
                </m:sub>
              </m:sSub>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ϕ</m:t>
                  </m:r>
                </m:e>
                <m:sub>
                  <m:r>
                    <m:rPr>
                      <m:sty m:val="p"/>
                    </m:rPr>
                    <w:rPr>
                      <w:rFonts w:ascii="Cambria Math" w:hAnsi="Cambria Math"/>
                    </w:rPr>
                    <m:t>2</m:t>
                  </m:r>
                </m:sub>
              </m:sSub>
              <m:sSup>
                <m:sSupPr>
                  <m:ctrlPr>
                    <w:rPr>
                      <w:rFonts w:ascii="Cambria Math" w:hAnsi="Cambria Math"/>
                    </w:rPr>
                  </m:ctrlPr>
                </m:sSupPr>
                <m:e>
                  <m:r>
                    <w:rPr>
                      <w:rFonts w:ascii="Cambria Math" w:hAnsi="Cambria Math"/>
                    </w:rPr>
                    <m:t>L</m:t>
                  </m:r>
                </m:e>
                <m:sup>
                  <m:r>
                    <m:rPr>
                      <m:sty m:val="p"/>
                    </m:rPr>
                    <w:rPr>
                      <w:rFonts w:ascii="Cambria Math" w:hAnsi="Cambria Math"/>
                    </w:rPr>
                    <m:t>2</m:t>
                  </m:r>
                </m:sup>
              </m:sSup>
              <m:r>
                <m:rPr>
                  <m:sty m:val="p"/>
                </m:rPr>
                <w:rPr>
                  <w:rFonts w:ascii="Cambria Math" w:eastAsiaTheme="minorEastAsia"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sSup>
                <m:sSupPr>
                  <m:ctrlPr>
                    <w:rPr>
                      <w:rFonts w:ascii="Cambria Math" w:hAnsi="Cambria Math"/>
                    </w:rPr>
                  </m:ctrlPr>
                </m:sSupPr>
                <m:e>
                  <m:r>
                    <w:rPr>
                      <w:rFonts w:ascii="Cambria Math" w:hAnsi="Cambria Math"/>
                    </w:rPr>
                    <m:t>L</m:t>
                  </m:r>
                </m:e>
                <m:sup>
                  <m:r>
                    <w:rPr>
                      <w:rFonts w:ascii="Cambria Math" w:hAnsi="Cambria Math"/>
                    </w:rPr>
                    <m:t>p</m:t>
                  </m:r>
                </m:sup>
              </m:sSup>
            </m:e>
          </m:d>
        </m:oMath>
      </m:oMathPara>
    </w:p>
    <w:p w14:paraId="5E9DD087" w14:textId="77777777" w:rsidR="00A81A90" w:rsidRPr="00A81A90" w:rsidRDefault="00A81A90" w:rsidP="00363082">
      <w:pPr>
        <w:rPr>
          <w:rFonts w:ascii="Arial" w:eastAsiaTheme="minorEastAsia" w:hAnsi="Arial"/>
        </w:rPr>
      </w:pPr>
      <m:oMathPara>
        <m:oMath>
          <m:r>
            <m:rPr>
              <m:sty m:val="p"/>
            </m:rPr>
            <w:rPr>
              <w:rFonts w:ascii="Cambria Math" w:hAnsi="Cambria Math"/>
            </w:rPr>
            <m:t>Θ</m:t>
          </m:r>
          <m:d>
            <m:dPr>
              <m:ctrlPr>
                <w:rPr>
                  <w:rFonts w:ascii="Cambria Math" w:hAnsi="Cambria Math"/>
                </w:rPr>
              </m:ctrlPr>
            </m:dPr>
            <m:e>
              <m:r>
                <w:rPr>
                  <w:rFonts w:ascii="Cambria Math" w:hAnsi="Cambria Math"/>
                </w:rPr>
                <m:t>L</m:t>
              </m:r>
            </m:e>
          </m:d>
          <m:r>
            <m:rPr>
              <m:sty m:val="p"/>
            </m:rPr>
            <w:rPr>
              <w:rFonts w:ascii="Cambria Math" w:hAnsi="Cambria Math"/>
            </w:rPr>
            <m:t>=(1-</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r>
            <w:rPr>
              <w:rFonts w:ascii="Cambria Math" w:eastAsiaTheme="minorEastAsia" w:hAnsi="Cambria Math"/>
            </w:rPr>
            <m:t>L</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sSup>
            <m:sSupPr>
              <m:ctrlPr>
                <w:rPr>
                  <w:rFonts w:ascii="Cambria Math" w:eastAsiaTheme="minorEastAsia" w:hAnsi="Cambria Math"/>
                </w:rPr>
              </m:ctrlPr>
            </m:sSupPr>
            <m:e>
              <m:r>
                <w:rPr>
                  <w:rFonts w:ascii="Cambria Math" w:eastAsiaTheme="minorEastAsia" w:hAnsi="Cambria Math"/>
                </w:rPr>
                <m:t>L</m:t>
              </m:r>
            </m:e>
            <m:sup>
              <m:r>
                <m:rPr>
                  <m:sty m:val="p"/>
                </m:rPr>
                <w:rPr>
                  <w:rFonts w:ascii="Cambria Math" w:eastAsiaTheme="minorEastAsia" w:hAnsi="Cambria Math"/>
                </w:rPr>
                <m:t>2</m:t>
              </m:r>
            </m:sup>
          </m:sSup>
          <m:r>
            <m:rPr>
              <m:sty m:val="p"/>
            </m:rPr>
            <w:rPr>
              <w:rFonts w:ascii="Cambria Math" w:eastAsiaTheme="minorEastAsia" w:hAnsi="Cambria Math"/>
            </w:rPr>
            <m:t>-…-</m:t>
          </m:r>
          <m:sSub>
            <m:sSubPr>
              <m:ctrlPr>
                <w:rPr>
                  <w:rFonts w:ascii="Cambria Math" w:hAnsi="Cambria Math"/>
                </w:rPr>
              </m:ctrlPr>
            </m:sSubPr>
            <m:e>
              <m:r>
                <w:rPr>
                  <w:rFonts w:ascii="Cambria Math" w:hAnsi="Cambria Math"/>
                </w:rPr>
                <m:t>θ</m:t>
              </m:r>
            </m:e>
            <m:sub>
              <m:r>
                <w:rPr>
                  <w:rFonts w:ascii="Cambria Math" w:hAnsi="Cambria Math"/>
                </w:rPr>
                <m:t>q</m:t>
              </m:r>
            </m:sub>
          </m:sSub>
          <m:sSup>
            <m:sSupPr>
              <m:ctrlPr>
                <w:rPr>
                  <w:rFonts w:ascii="Cambria Math" w:eastAsiaTheme="minorEastAsia" w:hAnsi="Cambria Math"/>
                </w:rPr>
              </m:ctrlPr>
            </m:sSupPr>
            <m:e>
              <m:r>
                <w:rPr>
                  <w:rFonts w:ascii="Cambria Math" w:eastAsiaTheme="minorEastAsia" w:hAnsi="Cambria Math"/>
                </w:rPr>
                <m:t>L</m:t>
              </m:r>
            </m:e>
            <m:sup>
              <m:r>
                <w:rPr>
                  <w:rFonts w:ascii="Cambria Math" w:eastAsiaTheme="minorEastAsia" w:hAnsi="Cambria Math"/>
                </w:rPr>
                <m:t>q</m:t>
              </m:r>
            </m:sup>
          </m:sSup>
          <m:r>
            <m:rPr>
              <m:sty m:val="p"/>
            </m:rPr>
            <w:rPr>
              <w:rFonts w:ascii="Cambria Math" w:eastAsiaTheme="minorEastAsia" w:hAnsi="Cambria Math"/>
            </w:rPr>
            <m:t>)</m:t>
          </m:r>
        </m:oMath>
      </m:oMathPara>
    </w:p>
    <w:p w14:paraId="6755BD88" w14:textId="77777777" w:rsidR="00A81A90" w:rsidRPr="00A81A90" w:rsidRDefault="00A81A90" w:rsidP="00363082">
      <w:pPr>
        <w:rPr>
          <w:rFonts w:ascii="Arial" w:eastAsiaTheme="minorEastAsia" w:hAnsi="Arial"/>
        </w:rPr>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E</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L</m:t>
                  </m:r>
                </m:e>
                <m:sup>
                  <m:r>
                    <m:rPr>
                      <m:sty m:val="p"/>
                    </m:rPr>
                    <w:rPr>
                      <w:rFonts w:ascii="Cambria Math" w:hAnsi="Cambria Math"/>
                    </w:rPr>
                    <m:t>s</m:t>
                  </m:r>
                </m:sup>
              </m:sSup>
            </m:e>
          </m:d>
          <m:r>
            <m:rPr>
              <m:sty m:val="p"/>
            </m:rP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E</m:t>
              </m:r>
              <m:r>
                <m:rPr>
                  <m:sty m:val="p"/>
                </m:rPr>
                <w:rPr>
                  <w:rFonts w:ascii="Cambria Math" w:hAnsi="Cambria Math"/>
                </w:rPr>
                <m:t>1</m:t>
              </m:r>
            </m:sub>
          </m:sSub>
          <m:sSup>
            <m:sSupPr>
              <m:ctrlPr>
                <w:rPr>
                  <w:rFonts w:ascii="Cambria Math" w:eastAsiaTheme="minorEastAsia" w:hAnsi="Cambria Math"/>
                </w:rPr>
              </m:ctrlPr>
            </m:sSupPr>
            <m:e>
              <m:r>
                <w:rPr>
                  <w:rFonts w:ascii="Cambria Math" w:eastAsiaTheme="minorEastAsia" w:hAnsi="Cambria Math"/>
                </w:rPr>
                <m:t>L</m:t>
              </m:r>
            </m:e>
            <m:sup>
              <m:r>
                <w:rPr>
                  <w:rFonts w:ascii="Cambria Math" w:eastAsiaTheme="minorEastAsia" w:hAnsi="Cambria Math"/>
                </w:rPr>
                <m:t>s</m:t>
              </m:r>
            </m:sup>
          </m:sSup>
          <m:r>
            <m:rPr>
              <m:sty m:val="p"/>
            </m:rPr>
            <w:rPr>
              <w:rFonts w:ascii="Cambria Math" w:eastAsiaTheme="minorEastAsia" w:hAnsi="Cambria Math"/>
            </w:rPr>
            <m:t>-</m:t>
          </m:r>
          <m:sSub>
            <m:sSubPr>
              <m:ctrlPr>
                <w:rPr>
                  <w:rFonts w:ascii="Cambria Math" w:hAnsi="Cambria Math"/>
                </w:rPr>
              </m:ctrlPr>
            </m:sSubPr>
            <m:e>
              <m:r>
                <w:rPr>
                  <w:rFonts w:ascii="Cambria Math" w:hAnsi="Cambria Math"/>
                </w:rPr>
                <m:t>θ</m:t>
              </m:r>
            </m:e>
            <m:sub>
              <m:r>
                <w:rPr>
                  <w:rFonts w:ascii="Cambria Math" w:hAnsi="Cambria Math"/>
                </w:rPr>
                <m:t>E</m:t>
              </m:r>
              <m:r>
                <m:rPr>
                  <m:sty m:val="p"/>
                </m:rPr>
                <w:rPr>
                  <w:rFonts w:ascii="Cambria Math" w:hAnsi="Cambria Math"/>
                </w:rPr>
                <m:t>2</m:t>
              </m:r>
            </m:sub>
          </m:sSub>
          <m:sSup>
            <m:sSupPr>
              <m:ctrlPr>
                <w:rPr>
                  <w:rFonts w:ascii="Cambria Math" w:eastAsiaTheme="minorEastAsia" w:hAnsi="Cambria Math"/>
                </w:rPr>
              </m:ctrlPr>
            </m:sSupPr>
            <m:e>
              <m:r>
                <w:rPr>
                  <w:rFonts w:ascii="Cambria Math" w:eastAsiaTheme="minorEastAsia" w:hAnsi="Cambria Math"/>
                </w:rPr>
                <m:t>L</m:t>
              </m:r>
            </m:e>
            <m:sup>
              <m:r>
                <m:rPr>
                  <m:sty m:val="p"/>
                </m:rPr>
                <w:rPr>
                  <w:rFonts w:ascii="Cambria Math" w:eastAsiaTheme="minorEastAsia" w:hAnsi="Cambria Math"/>
                </w:rPr>
                <m:t>2</m:t>
              </m:r>
              <m:r>
                <w:rPr>
                  <w:rFonts w:ascii="Cambria Math" w:eastAsiaTheme="minorEastAsia" w:hAnsi="Cambria Math"/>
                </w:rPr>
                <m:t>s</m:t>
              </m:r>
            </m:sup>
          </m:sSup>
          <m:r>
            <m:rPr>
              <m:sty m:val="p"/>
            </m:rPr>
            <w:rPr>
              <w:rFonts w:ascii="Cambria Math" w:eastAsiaTheme="minorEastAsia" w:hAnsi="Cambria Math"/>
            </w:rPr>
            <m:t>-…-</m:t>
          </m:r>
          <m:sSub>
            <m:sSubPr>
              <m:ctrlPr>
                <w:rPr>
                  <w:rFonts w:ascii="Cambria Math" w:hAnsi="Cambria Math"/>
                </w:rPr>
              </m:ctrlPr>
            </m:sSubPr>
            <m:e>
              <m:r>
                <w:rPr>
                  <w:rFonts w:ascii="Cambria Math" w:hAnsi="Cambria Math"/>
                </w:rPr>
                <m:t>θ</m:t>
              </m:r>
            </m:e>
            <m:sub>
              <m:r>
                <w:rPr>
                  <w:rFonts w:ascii="Cambria Math" w:hAnsi="Cambria Math"/>
                </w:rPr>
                <m:t>EQ</m:t>
              </m:r>
            </m:sub>
          </m:sSub>
          <m:sSup>
            <m:sSupPr>
              <m:ctrlPr>
                <w:rPr>
                  <w:rFonts w:ascii="Cambria Math" w:eastAsiaTheme="minorEastAsia" w:hAnsi="Cambria Math"/>
                </w:rPr>
              </m:ctrlPr>
            </m:sSupPr>
            <m:e>
              <m:r>
                <w:rPr>
                  <w:rFonts w:ascii="Cambria Math" w:eastAsiaTheme="minorEastAsia" w:hAnsi="Cambria Math"/>
                </w:rPr>
                <m:t>L</m:t>
              </m:r>
            </m:e>
            <m:sup>
              <m:r>
                <w:rPr>
                  <w:rFonts w:ascii="Cambria Math" w:eastAsiaTheme="minorEastAsia" w:hAnsi="Cambria Math"/>
                </w:rPr>
                <m:t>Qs</m:t>
              </m:r>
            </m:sup>
          </m:sSup>
          <m:r>
            <m:rPr>
              <m:sty m:val="p"/>
            </m:rPr>
            <w:rPr>
              <w:rFonts w:ascii="Cambria Math" w:eastAsiaTheme="minorEastAsia" w:hAnsi="Cambria Math"/>
            </w:rPr>
            <m:t>)</m:t>
          </m:r>
        </m:oMath>
      </m:oMathPara>
    </w:p>
    <w:p w14:paraId="5F54F939" w14:textId="77777777" w:rsidR="00A81A90" w:rsidRPr="00A81A90" w:rsidRDefault="00A81A90" w:rsidP="00363082">
      <w:pPr>
        <w:rPr>
          <w:rFonts w:ascii="Arial" w:eastAsiaTheme="minorEastAsia" w:hAnsi="Arial"/>
        </w:rPr>
      </w:pPr>
    </w:p>
    <w:p w14:paraId="59E9F259" w14:textId="77777777" w:rsidR="00A81A90" w:rsidRPr="00A81A90" w:rsidRDefault="00A81A90" w:rsidP="00363082">
      <w:r w:rsidRPr="00A81A90">
        <w:t xml:space="preserve">En donde s denota al factor estacional (s=12 si se trabaja con datos mensuales). </w:t>
      </w:r>
    </w:p>
    <w:p w14:paraId="7F0316B9" w14:textId="52B6D998" w:rsidR="00A81A90" w:rsidRDefault="00A81A90" w:rsidP="00363082">
      <w:r w:rsidRPr="00A81A90">
        <w:t xml:space="preserve">Un estadístico importante para detectar estacionalidad es la prueba de </w:t>
      </w:r>
      <w:r w:rsidR="00363082">
        <w:t>HEGY</w:t>
      </w:r>
    </w:p>
    <w:p w14:paraId="4BC685DE" w14:textId="1A0A73D6" w:rsidR="00363082" w:rsidRDefault="00363082" w:rsidP="00363082"/>
    <w:p w14:paraId="178C5CAE" w14:textId="77777777" w:rsidR="00363082" w:rsidRPr="00363082" w:rsidRDefault="00363082" w:rsidP="00363082">
      <w:pPr>
        <w:pStyle w:val="Prrafodelista"/>
        <w:numPr>
          <w:ilvl w:val="0"/>
          <w:numId w:val="40"/>
        </w:numPr>
        <w:rPr>
          <w:b/>
          <w:bCs/>
        </w:rPr>
      </w:pPr>
      <w:r w:rsidRPr="00363082">
        <w:rPr>
          <w:b/>
          <w:bCs/>
        </w:rPr>
        <w:t>Test Hegy</w:t>
      </w:r>
    </w:p>
    <w:p w14:paraId="7C456A26" w14:textId="77777777" w:rsidR="00363082" w:rsidRDefault="00363082" w:rsidP="00363082">
      <w:r>
        <w:t xml:space="preserve">En esta prueba se parte de un modelo autorregresivo para la serie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es decir</w:t>
      </w:r>
    </w:p>
    <w:p w14:paraId="0E062061" w14:textId="77777777" w:rsidR="00363082" w:rsidRDefault="00363082" w:rsidP="00363082">
      <w:pPr>
        <w:rPr>
          <w:rFonts w:ascii="Arial" w:eastAsiaTheme="minorEastAsia" w:hAnsi="Arial" w:cs="Arial"/>
        </w:rPr>
      </w:pPr>
    </w:p>
    <w:p w14:paraId="1C14E45C" w14:textId="77777777" w:rsidR="00363082" w:rsidRPr="007B0864" w:rsidRDefault="00363082" w:rsidP="00363082">
      <w:pPr>
        <w:rPr>
          <w:rFonts w:ascii="Arial" w:hAnsi="Arial"/>
        </w:rPr>
      </w:pPr>
      <m:oMathPara>
        <m:oMath>
          <m:r>
            <w:rPr>
              <w:rFonts w:ascii="Cambria Math" w:hAnsi="Cambria Math"/>
            </w:rPr>
            <m:t>φ</m:t>
          </m:r>
          <m:d>
            <m:dPr>
              <m:ctrlPr>
                <w:rPr>
                  <w:rFonts w:ascii="Cambria Math" w:hAnsi="Cambria Math"/>
                </w:rPr>
              </m:ctrlPr>
            </m:dPr>
            <m:e>
              <m:r>
                <w:rPr>
                  <w:rFonts w:ascii="Cambria Math" w:hAnsi="Cambria Math"/>
                </w:rPr>
                <m:t>L</m:t>
              </m:r>
            </m:e>
          </m:d>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78C02467" w14:textId="77777777" w:rsidR="00363082" w:rsidRDefault="00363082" w:rsidP="00363082">
      <w:r>
        <w:t xml:space="preserve">En donde </w:t>
      </w:r>
      <m:oMath>
        <m:r>
          <w:rPr>
            <w:rFonts w:ascii="Cambria Math" w:hAnsi="Cambria Math"/>
          </w:rPr>
          <m:t>φ</m:t>
        </m:r>
        <m:d>
          <m:dPr>
            <m:ctrlPr>
              <w:rPr>
                <w:rFonts w:ascii="Cambria Math" w:hAnsi="Cambria Math"/>
              </w:rPr>
            </m:ctrlPr>
          </m:dPr>
          <m:e>
            <m:r>
              <w:rPr>
                <w:rFonts w:ascii="Cambria Math" w:hAnsi="Cambria Math"/>
              </w:rPr>
              <m:t>L</m:t>
            </m:r>
          </m:e>
        </m:d>
      </m:oMath>
      <w:r>
        <w:t xml:space="preserve"> representa a un polinomio en el operador de rezagos “L”, en el que cada raíz vendría a ser una fluctuación en cada frecuencia estacional y, épsilon es un proceso que no tiene correlación con el tiempo. Por tanto, el estadístico busca saber si las raíces tienen módulo unitario. El estadístico de regresión parte de este modelo y, se enfrenta a las siguientes hipótesis:</w:t>
      </w:r>
    </w:p>
    <w:p w14:paraId="7E4177DA" w14:textId="77777777" w:rsidR="00363082" w:rsidRDefault="00363082" w:rsidP="00363082">
      <w:pPr>
        <w:rPr>
          <w:rFonts w:ascii="Arial" w:eastAsiaTheme="minorEastAsia" w:hAnsi="Arial" w:cs="Arial"/>
        </w:rPr>
      </w:pPr>
    </w:p>
    <w:p w14:paraId="309FF0E4" w14:textId="77777777" w:rsidR="00363082" w:rsidRPr="00E42CEB" w:rsidRDefault="00363082" w:rsidP="00363082">
      <w:pPr>
        <w:rPr>
          <w:rFonts w:ascii="Arial" w:eastAsiaTheme="minorEastAsia" w:hAnsi="Arial"/>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Existen</m:t>
          </m:r>
          <m:r>
            <m:rPr>
              <m:sty m:val="p"/>
            </m:rPr>
            <w:rPr>
              <w:rFonts w:ascii="Cambria Math" w:hAnsi="Cambria Math"/>
            </w:rPr>
            <m:t xml:space="preserve"> </m:t>
          </m:r>
          <m:r>
            <w:rPr>
              <w:rFonts w:ascii="Cambria Math" w:hAnsi="Cambria Math"/>
            </w:rPr>
            <m:t>raices</m:t>
          </m:r>
          <m:r>
            <m:rPr>
              <m:sty m:val="p"/>
            </m:rPr>
            <w:rPr>
              <w:rFonts w:ascii="Cambria Math" w:hAnsi="Cambria Math"/>
            </w:rPr>
            <m:t xml:space="preserve"> </m:t>
          </m:r>
          <m:r>
            <w:rPr>
              <w:rFonts w:ascii="Cambria Math" w:hAnsi="Cambria Math"/>
            </w:rPr>
            <m:t>unitarias</m:t>
          </m:r>
          <m:r>
            <m:rPr>
              <m:sty m:val="p"/>
            </m:rPr>
            <w:rPr>
              <w:rFonts w:ascii="Cambria Math" w:hAnsi="Cambria Math"/>
            </w:rPr>
            <m:t xml:space="preserve"> </m:t>
          </m:r>
          <m:r>
            <w:rPr>
              <w:rFonts w:ascii="Cambria Math" w:hAnsi="Cambria Math"/>
            </w:rPr>
            <m:t>en</m:t>
          </m:r>
          <m:r>
            <m:rPr>
              <m:sty m:val="p"/>
            </m:rPr>
            <w:rPr>
              <w:rFonts w:ascii="Cambria Math" w:hAnsi="Cambria Math"/>
            </w:rPr>
            <m:t xml:space="preserve"> </m:t>
          </m:r>
          <m:r>
            <w:rPr>
              <w:rFonts w:ascii="Cambria Math" w:hAnsi="Cambria Math"/>
            </w:rPr>
            <m:t>las</m:t>
          </m:r>
          <m:r>
            <m:rPr>
              <m:sty m:val="p"/>
            </m:rPr>
            <w:rPr>
              <w:rFonts w:ascii="Cambria Math" w:hAnsi="Cambria Math"/>
            </w:rPr>
            <m:t xml:space="preserve"> </m:t>
          </m:r>
          <m:r>
            <w:rPr>
              <w:rFonts w:ascii="Cambria Math" w:hAnsi="Cambria Math"/>
            </w:rPr>
            <m:t>frecuencias</m:t>
          </m:r>
          <m:r>
            <m:rPr>
              <m:sty m:val="p"/>
            </m:rPr>
            <w:rPr>
              <w:rFonts w:ascii="Cambria Math" w:hAnsi="Cambria Math"/>
            </w:rPr>
            <m:t xml:space="preserve"> </m:t>
          </m:r>
          <m:r>
            <w:rPr>
              <w:rFonts w:ascii="Cambria Math" w:hAnsi="Cambria Math"/>
            </w:rPr>
            <m:t>estacionales</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en</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frecuencia</m:t>
          </m:r>
          <m:r>
            <m:rPr>
              <m:sty m:val="p"/>
            </m:rPr>
            <w:rPr>
              <w:rFonts w:ascii="Cambria Math" w:hAnsi="Cambria Math"/>
            </w:rPr>
            <m:t xml:space="preserve"> 0</m:t>
          </m:r>
        </m:oMath>
      </m:oMathPara>
    </w:p>
    <w:p w14:paraId="43188986" w14:textId="26ACE265" w:rsidR="00363082" w:rsidRPr="00E42CEB" w:rsidRDefault="00363082" w:rsidP="00363082">
      <w:pPr>
        <w:rPr>
          <w:rFonts w:ascii="Arial" w:eastAsiaTheme="minorEastAsia" w:hAnsi="Arial"/>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Existe</m:t>
          </m:r>
          <m:r>
            <m:rPr>
              <m:sty m:val="p"/>
            </m:rPr>
            <w:rPr>
              <w:rFonts w:ascii="Cambria Math" w:hAnsi="Cambria Math"/>
            </w:rPr>
            <m:t xml:space="preserve"> </m:t>
          </m:r>
          <m:r>
            <w:rPr>
              <w:rFonts w:ascii="Cambria Math" w:hAnsi="Cambria Math"/>
            </w:rPr>
            <m:t>estacionalidad</m:t>
          </m:r>
          <m:r>
            <m:rPr>
              <m:sty m:val="p"/>
            </m:rPr>
            <w:rPr>
              <w:rFonts w:ascii="Cambria Math" w:hAnsi="Cambria Math"/>
            </w:rPr>
            <m:t xml:space="preserve"> </m:t>
          </m:r>
          <m:r>
            <w:rPr>
              <w:rFonts w:ascii="Cambria Math" w:hAnsi="Cambria Math"/>
            </w:rPr>
            <m:t>estacionaria</m:t>
          </m:r>
        </m:oMath>
      </m:oMathPara>
    </w:p>
    <w:p w14:paraId="348BA19B" w14:textId="77777777" w:rsidR="00A81A90" w:rsidRPr="00A81A90" w:rsidRDefault="00A81A90" w:rsidP="00A81A90">
      <w:pPr>
        <w:rPr>
          <w:rFonts w:ascii="Arial" w:hAnsi="Arial" w:cs="Arial"/>
          <w:color w:val="000000" w:themeColor="text1"/>
        </w:rPr>
      </w:pPr>
    </w:p>
    <w:p w14:paraId="6BC38E73" w14:textId="0FA05291" w:rsidR="00A81A90" w:rsidRDefault="00A81A90" w:rsidP="006E1519">
      <w:pPr>
        <w:pStyle w:val="Prrafodelista"/>
        <w:numPr>
          <w:ilvl w:val="0"/>
          <w:numId w:val="42"/>
        </w:numPr>
      </w:pPr>
      <w:r w:rsidRPr="00A81A90">
        <w:t>Finalmente, cabe indicar que los respectivos gráficos y estimaciones se realiza haciendo uso de los programas: STATA.15 y Eviews</w:t>
      </w:r>
      <w:r w:rsidR="006E1519">
        <w:t xml:space="preserve"> 10</w:t>
      </w:r>
      <w:r w:rsidRPr="00A81A90">
        <w:t xml:space="preserve">. </w:t>
      </w:r>
    </w:p>
    <w:p w14:paraId="6B53193C" w14:textId="77777777" w:rsidR="00363082" w:rsidRPr="00A81A90" w:rsidRDefault="00363082" w:rsidP="00363082"/>
    <w:p w14:paraId="483CB522" w14:textId="797168D5" w:rsidR="00A81A90" w:rsidRPr="00A81A90" w:rsidRDefault="00775752" w:rsidP="00363082">
      <w:pPr>
        <w:pStyle w:val="Ttulo1"/>
      </w:pPr>
      <w:r w:rsidRPr="00A81A90">
        <w:t>RESULTADOS</w:t>
      </w:r>
    </w:p>
    <w:p w14:paraId="5BFDADCB" w14:textId="77777777" w:rsidR="00A81A90" w:rsidRPr="00A81A90" w:rsidRDefault="00A81A90" w:rsidP="00363082">
      <w:pPr>
        <w:pStyle w:val="Ttulo2"/>
      </w:pPr>
      <w:r w:rsidRPr="00A81A90">
        <w:t xml:space="preserve">Descriptivos </w:t>
      </w:r>
    </w:p>
    <w:p w14:paraId="2E0139C9" w14:textId="2A52399E" w:rsidR="00A81A90" w:rsidRDefault="00A81A90" w:rsidP="006E1519">
      <w:r w:rsidRPr="00A81A90">
        <w:t>La evolución del precio de cierre de la acción de la empresa norteamericana Pfizer Inc. desde el primero de enero del 2010 (presentado en el gráfico como 2010m</w:t>
      </w:r>
      <w:r w:rsidR="006E1519">
        <w:t>1</w:t>
      </w:r>
      <w:r w:rsidRPr="00A81A90">
        <w:t>) al 1 de febrero del 2021 se muestra en el siguiente gráfico:</w:t>
      </w:r>
    </w:p>
    <w:p w14:paraId="49F934B2" w14:textId="77777777" w:rsidR="006E1519" w:rsidRPr="00A81A90" w:rsidRDefault="006E1519" w:rsidP="006E1519"/>
    <w:p w14:paraId="2C75BB75" w14:textId="77777777" w:rsidR="006E1519" w:rsidRDefault="00A81A90" w:rsidP="006E1519">
      <w:pPr>
        <w:keepNext/>
        <w:jc w:val="center"/>
      </w:pPr>
      <w:r w:rsidRPr="00A81A90">
        <w:rPr>
          <w:rFonts w:ascii="Arial" w:hAnsi="Arial" w:cs="Arial"/>
          <w:noProof/>
          <w:color w:val="000000" w:themeColor="text1"/>
          <w:lang w:eastAsia="es-EC"/>
        </w:rPr>
        <w:lastRenderedPageBreak/>
        <w:drawing>
          <wp:inline distT="0" distB="0" distL="0" distR="0" wp14:anchorId="48EA57A9" wp14:editId="7AA938D0">
            <wp:extent cx="3693319" cy="2686050"/>
            <wp:effectExtent l="38100" t="38100" r="97790" b="952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7488" cy="2689082"/>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inline>
        </w:drawing>
      </w:r>
    </w:p>
    <w:p w14:paraId="0012A339" w14:textId="28A09F4D" w:rsidR="00A81A90" w:rsidRDefault="006E1519" w:rsidP="006E1519">
      <w:pPr>
        <w:pStyle w:val="Descripcin"/>
        <w:jc w:val="center"/>
      </w:pPr>
      <w:r>
        <w:t xml:space="preserve">Ilustración </w:t>
      </w:r>
      <w:r>
        <w:fldChar w:fldCharType="begin"/>
      </w:r>
      <w:r>
        <w:instrText xml:space="preserve"> SEQ Ilustración \* ARABIC </w:instrText>
      </w:r>
      <w:r>
        <w:fldChar w:fldCharType="separate"/>
      </w:r>
      <w:r w:rsidR="00CB2400">
        <w:rPr>
          <w:noProof/>
        </w:rPr>
        <w:t>1</w:t>
      </w:r>
      <w:r>
        <w:fldChar w:fldCharType="end"/>
      </w:r>
      <w:r>
        <w:t>: Precio de cierre (Pfizer)</w:t>
      </w:r>
    </w:p>
    <w:p w14:paraId="3203D60D" w14:textId="77777777" w:rsidR="006E1519" w:rsidRPr="006E1519" w:rsidRDefault="006E1519" w:rsidP="006E1519"/>
    <w:p w14:paraId="660C74F5" w14:textId="394F5C55" w:rsidR="00A81A90" w:rsidRDefault="00A81A90" w:rsidP="006E1519">
      <w:r w:rsidRPr="00A81A90">
        <w:t xml:space="preserve">Se observa que el valor mínimo del </w:t>
      </w:r>
      <w:r w:rsidR="006E1519" w:rsidRPr="00A81A90">
        <w:t>precio de</w:t>
      </w:r>
      <w:r w:rsidRPr="00A81A90">
        <w:t xml:space="preserve"> cierre fue alrededor de 18 dólares el 1 de enero del 2010, pero al paso de los meses y años este precio ha ido aumentando por lo que se observa una tendencia creciente débil. El precio máximo de la acción de esta compañía se registra el 1 de noviembre del 2018 con un valor aproximado de 44 dólares. En promedio durante los 134 meses analizados el precio de cierre de la acción norteamericana es de 29 dólares. Así mismo, se muestra una caída significativa a finales del 2018 después leves recuperaciones en los consecuentes años pero seguido de caídas no abruptas. Es relevante indicar que el 1 de octubre del 2020 el precio de cierre de la acción fue </w:t>
      </w:r>
      <w:r w:rsidR="006E1519" w:rsidRPr="00A81A90">
        <w:t>de $</w:t>
      </w:r>
      <w:r w:rsidRPr="00A81A90">
        <w:t>33, 66 no obstante, cuando la empresa anuncia resultados positivos sobre la efectividad de vacuna anti-covid el valor de la empresa mejoró, ya que el precio de la acción aumento en un 13,81%.  Sin embargo, para los tres consecutivos meses su precio ha tenido bajas, lo cual puede deberse a que diversos factores como alta competencia en la fabricación y venta de la vacuna.</w:t>
      </w:r>
    </w:p>
    <w:p w14:paraId="3495FA1A" w14:textId="77777777" w:rsidR="006E1519" w:rsidRPr="00A81A90" w:rsidRDefault="006E1519" w:rsidP="006E1519"/>
    <w:p w14:paraId="06EFBE24" w14:textId="77777777" w:rsidR="00A81A90" w:rsidRPr="00A81A90" w:rsidRDefault="00A81A90" w:rsidP="006E1519">
      <w:r w:rsidRPr="00A81A90">
        <w:t>A continuación, se presentan diagramas de cajas que resume el promedio de la acción de cada año, así como de cada mes durante el período de análisis.</w:t>
      </w:r>
    </w:p>
    <w:p w14:paraId="4CAEC860" w14:textId="77777777" w:rsidR="006E1519" w:rsidRDefault="00A81A90" w:rsidP="006E1519">
      <w:pPr>
        <w:keepNext/>
        <w:jc w:val="center"/>
      </w:pPr>
      <w:r w:rsidRPr="00A81A90">
        <w:rPr>
          <w:rFonts w:ascii="Arial" w:hAnsi="Arial" w:cs="Arial"/>
          <w:noProof/>
          <w:lang w:eastAsia="es-EC"/>
        </w:rPr>
        <w:lastRenderedPageBreak/>
        <w:drawing>
          <wp:inline distT="0" distB="0" distL="0" distR="0" wp14:anchorId="4DFDF5EB" wp14:editId="6F2C168E">
            <wp:extent cx="3619500" cy="2577575"/>
            <wp:effectExtent l="38100" t="38100" r="95250" b="895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4737" cy="2588425"/>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inline>
        </w:drawing>
      </w:r>
    </w:p>
    <w:p w14:paraId="365E11BE" w14:textId="5FFA12AD" w:rsidR="00A81A90" w:rsidRDefault="006E1519" w:rsidP="006E1519">
      <w:pPr>
        <w:pStyle w:val="Descripcin"/>
        <w:jc w:val="center"/>
      </w:pPr>
      <w:r>
        <w:t xml:space="preserve">Ilustración </w:t>
      </w:r>
      <w:r>
        <w:fldChar w:fldCharType="begin"/>
      </w:r>
      <w:r>
        <w:instrText xml:space="preserve"> SEQ Ilustración \* ARABIC </w:instrText>
      </w:r>
      <w:r>
        <w:fldChar w:fldCharType="separate"/>
      </w:r>
      <w:r w:rsidR="00CB2400">
        <w:rPr>
          <w:noProof/>
        </w:rPr>
        <w:t>2</w:t>
      </w:r>
      <w:r>
        <w:fldChar w:fldCharType="end"/>
      </w:r>
      <w:r>
        <w:t>: Precio Anual Promedio de la acción (Pfizer)</w:t>
      </w:r>
    </w:p>
    <w:p w14:paraId="5E4A2BEE" w14:textId="0ECFB981" w:rsidR="006E1519" w:rsidRDefault="00A81A90" w:rsidP="006E1519">
      <w:r w:rsidRPr="00A81A90">
        <w:t>El gráfico anterior indica que el mayor promedio del precio de la acción de la compañía de estudio fue el año 2019 con un valor de $ 37,959; mientras que en el 2010 se registró el precio promedio más bajo aproximadamente de 16 dólares americanos. El año del 2020 que fue el marcado por la pandemia se observa que el precio de la acción disminuyó con respecto al año anterior en 9,07%. Finalmente, hasta el primero de febrero del 2021, el promedio del precio de la acción parece no sufrir un grave cambio en relación al año anterior.</w:t>
      </w:r>
    </w:p>
    <w:p w14:paraId="520C42BC" w14:textId="77777777" w:rsidR="00775752" w:rsidRPr="00A81A90" w:rsidRDefault="00775752" w:rsidP="006E1519"/>
    <w:p w14:paraId="6B32A50F" w14:textId="77777777" w:rsidR="00A81A90" w:rsidRPr="00A81A90" w:rsidRDefault="00A81A90" w:rsidP="006E1519">
      <w:r w:rsidRPr="00A81A90">
        <w:t>Por consiguiente, se analiza el promedio del precio de acción de Pfizer Inc. de cada mes:</w:t>
      </w:r>
    </w:p>
    <w:p w14:paraId="59F0B4F4" w14:textId="77777777" w:rsidR="006E1519" w:rsidRDefault="00A81A90" w:rsidP="006E1519">
      <w:pPr>
        <w:keepNext/>
        <w:jc w:val="center"/>
      </w:pPr>
      <w:r w:rsidRPr="00A81A90">
        <w:rPr>
          <w:rFonts w:ascii="Arial" w:hAnsi="Arial" w:cs="Arial"/>
          <w:noProof/>
          <w:lang w:eastAsia="es-EC"/>
        </w:rPr>
        <w:drawing>
          <wp:inline distT="0" distB="0" distL="0" distR="0" wp14:anchorId="219CC735" wp14:editId="4D749A5B">
            <wp:extent cx="3555705" cy="2551794"/>
            <wp:effectExtent l="38100" t="38100" r="102235" b="965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5574" cy="2573230"/>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inline>
        </w:drawing>
      </w:r>
    </w:p>
    <w:p w14:paraId="5CC6869A" w14:textId="02EE58C6" w:rsidR="00A81A90" w:rsidRDefault="006E1519" w:rsidP="006E1519">
      <w:pPr>
        <w:pStyle w:val="Descripcin"/>
        <w:jc w:val="center"/>
      </w:pPr>
      <w:r>
        <w:t xml:space="preserve">Ilustración </w:t>
      </w:r>
      <w:r>
        <w:fldChar w:fldCharType="begin"/>
      </w:r>
      <w:r>
        <w:instrText xml:space="preserve"> SEQ Ilustración \* ARABIC </w:instrText>
      </w:r>
      <w:r>
        <w:fldChar w:fldCharType="separate"/>
      </w:r>
      <w:r w:rsidR="00CB2400">
        <w:rPr>
          <w:noProof/>
        </w:rPr>
        <w:t>3</w:t>
      </w:r>
      <w:r>
        <w:fldChar w:fldCharType="end"/>
      </w:r>
      <w:r>
        <w:t>: Precio promedio por mes de las acciones (Pfizer)</w:t>
      </w:r>
    </w:p>
    <w:p w14:paraId="15FDE734" w14:textId="77777777" w:rsidR="006E1519" w:rsidRPr="006E1519" w:rsidRDefault="006E1519" w:rsidP="006E1519"/>
    <w:p w14:paraId="4726B556" w14:textId="77777777" w:rsidR="00A81A90" w:rsidRPr="00A81A90" w:rsidRDefault="00A81A90" w:rsidP="00D5083D">
      <w:r w:rsidRPr="00A81A90">
        <w:t>En el gráfico, el valor de 1 representa el mes de enero, 2 febrero y así sucesivamente.  La media del precio de cierre de cada mes durante 2010 y 2021 se encuentra en $28,79 y $30,07.</w:t>
      </w:r>
    </w:p>
    <w:p w14:paraId="33077398" w14:textId="5B52FB7F" w:rsidR="00A81A90" w:rsidRDefault="00A81A90" w:rsidP="00D5083D">
      <w:r w:rsidRPr="00A81A90">
        <w:t xml:space="preserve">De manera significativa y marcada, no se presenta un mes específico del año en el que la compañía haya subido el precio de su acción ni tampoco se evidencia un mes específico en el cual, el precio de cierre de la acción disminuya, es decir,  no se identifica claramente los picos y valles en la serie; por lo tanto, al parecer la serie no presenta un </w:t>
      </w:r>
      <w:r w:rsidR="006E1519">
        <w:t xml:space="preserve">claro </w:t>
      </w:r>
      <w:r w:rsidRPr="00A81A90">
        <w:t>factor estacional dado que la media del precio de la acción de cada mes es constante.</w:t>
      </w:r>
    </w:p>
    <w:p w14:paraId="0C12193D" w14:textId="77777777" w:rsidR="006E1519" w:rsidRPr="00A81A90" w:rsidRDefault="006E1519" w:rsidP="006E1519"/>
    <w:p w14:paraId="3472A98E" w14:textId="099BBC27" w:rsidR="006E1519" w:rsidRDefault="006E1519" w:rsidP="006E1519">
      <w:pPr>
        <w:pStyle w:val="Ttulo2"/>
      </w:pPr>
      <w:r>
        <w:t>Modelos</w:t>
      </w:r>
      <w:r w:rsidR="00A81A90" w:rsidRPr="00A81A90">
        <w:t xml:space="preserve"> </w:t>
      </w:r>
      <w:r w:rsidR="00775752">
        <w:t>estimados</w:t>
      </w:r>
    </w:p>
    <w:p w14:paraId="748023C8" w14:textId="32D9372B" w:rsidR="006E1519" w:rsidRPr="006E1519" w:rsidRDefault="006E1519" w:rsidP="006E1519">
      <w:pPr>
        <w:pStyle w:val="Ttulo3"/>
      </w:pPr>
      <w:r>
        <w:t>Modelo ARIMA</w:t>
      </w:r>
    </w:p>
    <w:p w14:paraId="3F4F9839" w14:textId="5F19DA36" w:rsidR="00B20D20" w:rsidRDefault="00A81A90" w:rsidP="00D5083D">
      <w:r w:rsidRPr="00D5083D">
        <w:t>Para aplicar la metodología de Box Jenkins diferenciamos la serie (</w:t>
      </w:r>
      <w:r w:rsidR="00D5083D">
        <w:t>una</w:t>
      </w:r>
      <w:r w:rsidRPr="00D5083D">
        <w:t xml:space="preserve"> vez) que se muestra en la ilustración </w:t>
      </w:r>
      <w:r w:rsidR="00D5083D">
        <w:t>1</w:t>
      </w:r>
      <w:r w:rsidRPr="00D5083D">
        <w:t xml:space="preserve"> ya que esta presenta raíz unitaria y el modelo ARIMA (p,d,q) requiere estacionariedad. Se aplicó los siguientes test para detectar la estacionariedad de las series</w:t>
      </w:r>
      <w:r w:rsidRPr="00A81A90">
        <w:t>:</w:t>
      </w:r>
    </w:p>
    <w:p w14:paraId="3BDD752A" w14:textId="60A6D275" w:rsidR="00D5083D" w:rsidRPr="00A81A90" w:rsidRDefault="00D5083D" w:rsidP="00B20D20">
      <w:pPr>
        <w:pStyle w:val="Descripcin"/>
        <w:jc w:val="center"/>
      </w:pPr>
    </w:p>
    <w:p w14:paraId="7D68E9AB" w14:textId="7B09BEA1" w:rsidR="00CB2400" w:rsidRDefault="00CB2400" w:rsidP="00CB2400">
      <w:pPr>
        <w:pStyle w:val="Descripcin"/>
        <w:keepNext/>
        <w:jc w:val="center"/>
      </w:pPr>
      <w:r>
        <w:t xml:space="preserve">Tabla </w:t>
      </w:r>
      <w:r>
        <w:fldChar w:fldCharType="begin"/>
      </w:r>
      <w:r>
        <w:instrText xml:space="preserve"> SEQ Tabla \* ARABIC </w:instrText>
      </w:r>
      <w:r>
        <w:fldChar w:fldCharType="separate"/>
      </w:r>
      <w:r>
        <w:rPr>
          <w:noProof/>
        </w:rPr>
        <w:t>1</w:t>
      </w:r>
      <w:r>
        <w:fldChar w:fldCharType="end"/>
      </w:r>
      <w:r>
        <w:t xml:space="preserve">: </w:t>
      </w:r>
      <w:r w:rsidRPr="00E33243">
        <w:t>Pruebas de raíz unitaria ARIMA</w:t>
      </w:r>
    </w:p>
    <w:tbl>
      <w:tblPr>
        <w:tblStyle w:val="TABLAAPA6TAED"/>
        <w:tblW w:w="5000" w:type="pct"/>
        <w:jc w:val="center"/>
        <w:tblLook w:val="04A0" w:firstRow="1" w:lastRow="0" w:firstColumn="1" w:lastColumn="0" w:noHBand="0" w:noVBand="1"/>
      </w:tblPr>
      <w:tblGrid>
        <w:gridCol w:w="1537"/>
        <w:gridCol w:w="1733"/>
        <w:gridCol w:w="1835"/>
        <w:gridCol w:w="1560"/>
        <w:gridCol w:w="1839"/>
      </w:tblGrid>
      <w:tr w:rsidR="00B20D20" w:rsidRPr="00A81A90" w14:paraId="6D6BC972" w14:textId="77777777" w:rsidTr="00B20D20">
        <w:trPr>
          <w:cnfStyle w:val="100000000000" w:firstRow="1" w:lastRow="0" w:firstColumn="0" w:lastColumn="0" w:oddVBand="0" w:evenVBand="0" w:oddHBand="0"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904" w:type="pct"/>
          </w:tcPr>
          <w:p w14:paraId="34692EA3" w14:textId="77777777" w:rsidR="00A81A90" w:rsidRPr="00D5083D" w:rsidRDefault="00A81A90" w:rsidP="00D5083D">
            <w:pPr>
              <w:ind w:firstLine="0"/>
              <w:jc w:val="center"/>
              <w:rPr>
                <w:b/>
                <w:bCs/>
              </w:rPr>
            </w:pPr>
            <w:r w:rsidRPr="00D5083D">
              <w:rPr>
                <w:b/>
                <w:bCs/>
              </w:rPr>
              <w:t>Test</w:t>
            </w:r>
          </w:p>
        </w:tc>
        <w:tc>
          <w:tcPr>
            <w:tcW w:w="1019" w:type="pct"/>
          </w:tcPr>
          <w:p w14:paraId="422EEFB8" w14:textId="77777777" w:rsidR="00A81A90" w:rsidRPr="00D5083D" w:rsidRDefault="00A81A90" w:rsidP="00D5083D">
            <w:pPr>
              <w:ind w:firstLine="0"/>
              <w:jc w:val="center"/>
              <w:cnfStyle w:val="100000000000" w:firstRow="1" w:lastRow="0" w:firstColumn="0" w:lastColumn="0" w:oddVBand="0" w:evenVBand="0" w:oddHBand="0" w:evenHBand="0" w:firstRowFirstColumn="0" w:firstRowLastColumn="0" w:lastRowFirstColumn="0" w:lastRowLastColumn="0"/>
              <w:rPr>
                <w:b/>
                <w:bCs/>
              </w:rPr>
            </w:pPr>
            <w:r w:rsidRPr="00D5083D">
              <w:rPr>
                <w:b/>
                <w:bCs/>
              </w:rPr>
              <w:t>Sin Diferenciación</w:t>
            </w:r>
          </w:p>
        </w:tc>
        <w:tc>
          <w:tcPr>
            <w:tcW w:w="1079" w:type="pct"/>
          </w:tcPr>
          <w:p w14:paraId="1DAF2AC8" w14:textId="77777777" w:rsidR="00A81A90" w:rsidRPr="00D5083D" w:rsidRDefault="00A81A90" w:rsidP="00D5083D">
            <w:pPr>
              <w:ind w:firstLine="0"/>
              <w:jc w:val="center"/>
              <w:cnfStyle w:val="100000000000" w:firstRow="1" w:lastRow="0" w:firstColumn="0" w:lastColumn="0" w:oddVBand="0" w:evenVBand="0" w:oddHBand="0" w:evenHBand="0" w:firstRowFirstColumn="0" w:firstRowLastColumn="0" w:lastRowFirstColumn="0" w:lastRowLastColumn="0"/>
              <w:rPr>
                <w:b/>
                <w:bCs/>
              </w:rPr>
            </w:pPr>
            <w:r w:rsidRPr="00D5083D">
              <w:rPr>
                <w:b/>
                <w:bCs/>
              </w:rPr>
              <w:t>Estadístico de prueba</w:t>
            </w:r>
          </w:p>
        </w:tc>
        <w:tc>
          <w:tcPr>
            <w:tcW w:w="917" w:type="pct"/>
          </w:tcPr>
          <w:p w14:paraId="6408F253" w14:textId="77777777" w:rsidR="00A81A90" w:rsidRPr="00D5083D" w:rsidRDefault="00A81A90" w:rsidP="00D5083D">
            <w:pPr>
              <w:ind w:firstLine="0"/>
              <w:jc w:val="center"/>
              <w:cnfStyle w:val="100000000000" w:firstRow="1" w:lastRow="0" w:firstColumn="0" w:lastColumn="0" w:oddVBand="0" w:evenVBand="0" w:oddHBand="0" w:evenHBand="0" w:firstRowFirstColumn="0" w:firstRowLastColumn="0" w:lastRowFirstColumn="0" w:lastRowLastColumn="0"/>
              <w:rPr>
                <w:b/>
                <w:bCs/>
              </w:rPr>
            </w:pPr>
            <w:r w:rsidRPr="00D5083D">
              <w:rPr>
                <w:b/>
                <w:bCs/>
              </w:rPr>
              <w:t>Primera Diferencia</w:t>
            </w:r>
          </w:p>
        </w:tc>
        <w:tc>
          <w:tcPr>
            <w:tcW w:w="1081" w:type="pct"/>
          </w:tcPr>
          <w:p w14:paraId="464558C8" w14:textId="77777777" w:rsidR="00A81A90" w:rsidRPr="00D5083D" w:rsidRDefault="00A81A90" w:rsidP="00D5083D">
            <w:pPr>
              <w:ind w:firstLine="0"/>
              <w:jc w:val="center"/>
              <w:cnfStyle w:val="100000000000" w:firstRow="1" w:lastRow="0" w:firstColumn="0" w:lastColumn="0" w:oddVBand="0" w:evenVBand="0" w:oddHBand="0" w:evenHBand="0" w:firstRowFirstColumn="0" w:firstRowLastColumn="0" w:lastRowFirstColumn="0" w:lastRowLastColumn="0"/>
              <w:rPr>
                <w:b/>
                <w:bCs/>
              </w:rPr>
            </w:pPr>
            <w:r w:rsidRPr="00D5083D">
              <w:rPr>
                <w:b/>
                <w:bCs/>
              </w:rPr>
              <w:t>Estadístico de prueba</w:t>
            </w:r>
          </w:p>
        </w:tc>
      </w:tr>
      <w:tr w:rsidR="00B20D20" w:rsidRPr="00A81A90" w14:paraId="1CB97C7D" w14:textId="77777777" w:rsidTr="00B20D20">
        <w:trPr>
          <w:trHeight w:val="499"/>
          <w:jc w:val="center"/>
        </w:trPr>
        <w:tc>
          <w:tcPr>
            <w:cnfStyle w:val="001000000000" w:firstRow="0" w:lastRow="0" w:firstColumn="1" w:lastColumn="0" w:oddVBand="0" w:evenVBand="0" w:oddHBand="0" w:evenHBand="0" w:firstRowFirstColumn="0" w:firstRowLastColumn="0" w:lastRowFirstColumn="0" w:lastRowLastColumn="0"/>
            <w:tcW w:w="904" w:type="pct"/>
          </w:tcPr>
          <w:p w14:paraId="5B1BFD9E" w14:textId="77777777" w:rsidR="00A81A90" w:rsidRPr="00D5083D" w:rsidRDefault="00A81A90" w:rsidP="00D5083D">
            <w:pPr>
              <w:ind w:firstLine="0"/>
              <w:jc w:val="center"/>
              <w:rPr>
                <w:b/>
                <w:bCs/>
              </w:rPr>
            </w:pPr>
            <w:r w:rsidRPr="00D5083D">
              <w:rPr>
                <w:b/>
                <w:bCs/>
              </w:rPr>
              <w:t>Phillips Perron</w:t>
            </w:r>
          </w:p>
        </w:tc>
        <w:tc>
          <w:tcPr>
            <w:tcW w:w="1019" w:type="pct"/>
          </w:tcPr>
          <w:p w14:paraId="5BDD831E" w14:textId="77777777" w:rsidR="00A81A90" w:rsidRPr="00A81A90" w:rsidRDefault="00A81A90" w:rsidP="00D5083D">
            <w:pPr>
              <w:ind w:firstLine="0"/>
              <w:jc w:val="center"/>
              <w:cnfStyle w:val="000000000000" w:firstRow="0" w:lastRow="0" w:firstColumn="0" w:lastColumn="0" w:oddVBand="0" w:evenVBand="0" w:oddHBand="0" w:evenHBand="0" w:firstRowFirstColumn="0" w:firstRowLastColumn="0" w:lastRowFirstColumn="0" w:lastRowLastColumn="0"/>
            </w:pPr>
            <w:r w:rsidRPr="00A81A90">
              <w:t>Tiene Raíz Unitaria</w:t>
            </w:r>
          </w:p>
        </w:tc>
        <w:tc>
          <w:tcPr>
            <w:tcW w:w="1079" w:type="pct"/>
          </w:tcPr>
          <w:p w14:paraId="5BFC053E" w14:textId="77777777" w:rsidR="00A81A90" w:rsidRPr="00A81A90" w:rsidRDefault="00A81A90" w:rsidP="00D5083D">
            <w:pPr>
              <w:jc w:val="center"/>
              <w:cnfStyle w:val="000000000000" w:firstRow="0" w:lastRow="0" w:firstColumn="0" w:lastColumn="0" w:oddVBand="0" w:evenVBand="0" w:oddHBand="0" w:evenHBand="0" w:firstRowFirstColumn="0" w:firstRowLastColumn="0" w:lastRowFirstColumn="0" w:lastRowLastColumn="0"/>
            </w:pPr>
            <w:r w:rsidRPr="00A81A90">
              <w:t>0.5319</w:t>
            </w:r>
          </w:p>
        </w:tc>
        <w:tc>
          <w:tcPr>
            <w:tcW w:w="917" w:type="pct"/>
          </w:tcPr>
          <w:p w14:paraId="6E61F237" w14:textId="77777777" w:rsidR="00A81A90" w:rsidRPr="00A81A90" w:rsidRDefault="00A81A90" w:rsidP="00D5083D">
            <w:pPr>
              <w:ind w:firstLine="0"/>
              <w:jc w:val="center"/>
              <w:cnfStyle w:val="000000000000" w:firstRow="0" w:lastRow="0" w:firstColumn="0" w:lastColumn="0" w:oddVBand="0" w:evenVBand="0" w:oddHBand="0" w:evenHBand="0" w:firstRowFirstColumn="0" w:firstRowLastColumn="0" w:lastRowFirstColumn="0" w:lastRowLastColumn="0"/>
            </w:pPr>
            <w:r w:rsidRPr="00A81A90">
              <w:t>No tiene Raíz Unitaria</w:t>
            </w:r>
          </w:p>
        </w:tc>
        <w:tc>
          <w:tcPr>
            <w:tcW w:w="1081" w:type="pct"/>
          </w:tcPr>
          <w:p w14:paraId="3E9607E4" w14:textId="77777777" w:rsidR="00A81A90" w:rsidRPr="00A81A90" w:rsidRDefault="00A81A90" w:rsidP="00D5083D">
            <w:pPr>
              <w:jc w:val="center"/>
              <w:cnfStyle w:val="000000000000" w:firstRow="0" w:lastRow="0" w:firstColumn="0" w:lastColumn="0" w:oddVBand="0" w:evenVBand="0" w:oddHBand="0" w:evenHBand="0" w:firstRowFirstColumn="0" w:firstRowLastColumn="0" w:lastRowFirstColumn="0" w:lastRowLastColumn="0"/>
            </w:pPr>
            <w:r w:rsidRPr="00A81A90">
              <w:t>0.000</w:t>
            </w:r>
          </w:p>
        </w:tc>
      </w:tr>
      <w:tr w:rsidR="00B20D20" w:rsidRPr="00A81A90" w14:paraId="11C6B85A" w14:textId="77777777" w:rsidTr="00B20D20">
        <w:trPr>
          <w:trHeight w:val="494"/>
          <w:jc w:val="center"/>
        </w:trPr>
        <w:tc>
          <w:tcPr>
            <w:cnfStyle w:val="001000000000" w:firstRow="0" w:lastRow="0" w:firstColumn="1" w:lastColumn="0" w:oddVBand="0" w:evenVBand="0" w:oddHBand="0" w:evenHBand="0" w:firstRowFirstColumn="0" w:firstRowLastColumn="0" w:lastRowFirstColumn="0" w:lastRowLastColumn="0"/>
            <w:tcW w:w="904" w:type="pct"/>
          </w:tcPr>
          <w:p w14:paraId="12E985E7" w14:textId="68E4791E" w:rsidR="00A81A90" w:rsidRPr="00D5083D" w:rsidRDefault="00D5083D" w:rsidP="00D5083D">
            <w:pPr>
              <w:ind w:firstLine="0"/>
              <w:jc w:val="center"/>
              <w:rPr>
                <w:b/>
                <w:bCs/>
              </w:rPr>
            </w:pPr>
            <w:r w:rsidRPr="00D5083D">
              <w:rPr>
                <w:b/>
                <w:bCs/>
              </w:rPr>
              <w:t>Dickey</w:t>
            </w:r>
            <w:r w:rsidR="00A81A90" w:rsidRPr="00D5083D">
              <w:rPr>
                <w:b/>
                <w:bCs/>
              </w:rPr>
              <w:t xml:space="preserve"> Fuller Aumentado</w:t>
            </w:r>
          </w:p>
        </w:tc>
        <w:tc>
          <w:tcPr>
            <w:tcW w:w="1019" w:type="pct"/>
          </w:tcPr>
          <w:p w14:paraId="23C2B521" w14:textId="77777777" w:rsidR="00A81A90" w:rsidRPr="00A81A90" w:rsidRDefault="00A81A90" w:rsidP="00D5083D">
            <w:pPr>
              <w:ind w:firstLine="0"/>
              <w:jc w:val="center"/>
              <w:cnfStyle w:val="000000000000" w:firstRow="0" w:lastRow="0" w:firstColumn="0" w:lastColumn="0" w:oddVBand="0" w:evenVBand="0" w:oddHBand="0" w:evenHBand="0" w:firstRowFirstColumn="0" w:firstRowLastColumn="0" w:lastRowFirstColumn="0" w:lastRowLastColumn="0"/>
            </w:pPr>
            <w:r w:rsidRPr="00A81A90">
              <w:t>Tiene Raíz Unitaria</w:t>
            </w:r>
          </w:p>
        </w:tc>
        <w:tc>
          <w:tcPr>
            <w:tcW w:w="1079" w:type="pct"/>
          </w:tcPr>
          <w:p w14:paraId="7FAB6E07" w14:textId="77777777" w:rsidR="00A81A90" w:rsidRPr="00A81A90" w:rsidRDefault="00A81A90" w:rsidP="00D5083D">
            <w:pPr>
              <w:jc w:val="center"/>
              <w:cnfStyle w:val="000000000000" w:firstRow="0" w:lastRow="0" w:firstColumn="0" w:lastColumn="0" w:oddVBand="0" w:evenVBand="0" w:oddHBand="0" w:evenHBand="0" w:firstRowFirstColumn="0" w:firstRowLastColumn="0" w:lastRowFirstColumn="0" w:lastRowLastColumn="0"/>
            </w:pPr>
            <w:r w:rsidRPr="00A81A90">
              <w:t>0.4625</w:t>
            </w:r>
          </w:p>
        </w:tc>
        <w:tc>
          <w:tcPr>
            <w:tcW w:w="917" w:type="pct"/>
          </w:tcPr>
          <w:p w14:paraId="6EA907D6" w14:textId="77777777" w:rsidR="00A81A90" w:rsidRPr="00A81A90" w:rsidRDefault="00A81A90" w:rsidP="00D5083D">
            <w:pPr>
              <w:ind w:firstLine="0"/>
              <w:jc w:val="center"/>
              <w:cnfStyle w:val="000000000000" w:firstRow="0" w:lastRow="0" w:firstColumn="0" w:lastColumn="0" w:oddVBand="0" w:evenVBand="0" w:oddHBand="0" w:evenHBand="0" w:firstRowFirstColumn="0" w:firstRowLastColumn="0" w:lastRowFirstColumn="0" w:lastRowLastColumn="0"/>
            </w:pPr>
            <w:r w:rsidRPr="00A81A90">
              <w:t>No tiene Raíz Unitaria</w:t>
            </w:r>
          </w:p>
        </w:tc>
        <w:tc>
          <w:tcPr>
            <w:tcW w:w="1081" w:type="pct"/>
          </w:tcPr>
          <w:p w14:paraId="659EA256" w14:textId="77777777" w:rsidR="00A81A90" w:rsidRPr="00A81A90" w:rsidRDefault="00A81A90" w:rsidP="00D5083D">
            <w:pPr>
              <w:jc w:val="center"/>
              <w:cnfStyle w:val="000000000000" w:firstRow="0" w:lastRow="0" w:firstColumn="0" w:lastColumn="0" w:oddVBand="0" w:evenVBand="0" w:oddHBand="0" w:evenHBand="0" w:firstRowFirstColumn="0" w:firstRowLastColumn="0" w:lastRowFirstColumn="0" w:lastRowLastColumn="0"/>
            </w:pPr>
            <w:r w:rsidRPr="00A81A90">
              <w:t>0.000</w:t>
            </w:r>
          </w:p>
        </w:tc>
      </w:tr>
      <w:tr w:rsidR="00B20D20" w:rsidRPr="00A81A90" w14:paraId="31032A61" w14:textId="77777777" w:rsidTr="00B20D20">
        <w:trPr>
          <w:trHeight w:val="499"/>
          <w:jc w:val="center"/>
        </w:trPr>
        <w:tc>
          <w:tcPr>
            <w:cnfStyle w:val="001000000000" w:firstRow="0" w:lastRow="0" w:firstColumn="1" w:lastColumn="0" w:oddVBand="0" w:evenVBand="0" w:oddHBand="0" w:evenHBand="0" w:firstRowFirstColumn="0" w:firstRowLastColumn="0" w:lastRowFirstColumn="0" w:lastRowLastColumn="0"/>
            <w:tcW w:w="904" w:type="pct"/>
          </w:tcPr>
          <w:p w14:paraId="2E8FB6BB" w14:textId="77777777" w:rsidR="00A81A90" w:rsidRPr="00D5083D" w:rsidRDefault="00A81A90" w:rsidP="00D5083D">
            <w:pPr>
              <w:ind w:firstLine="0"/>
              <w:jc w:val="center"/>
              <w:rPr>
                <w:b/>
                <w:bCs/>
              </w:rPr>
            </w:pPr>
            <w:r w:rsidRPr="00D5083D">
              <w:rPr>
                <w:b/>
                <w:bCs/>
              </w:rPr>
              <w:t>Kpss</w:t>
            </w:r>
          </w:p>
        </w:tc>
        <w:tc>
          <w:tcPr>
            <w:tcW w:w="1019" w:type="pct"/>
          </w:tcPr>
          <w:p w14:paraId="5A61E2CC" w14:textId="77777777" w:rsidR="00A81A90" w:rsidRPr="00A81A90" w:rsidRDefault="00A81A90" w:rsidP="00D5083D">
            <w:pPr>
              <w:ind w:firstLine="0"/>
              <w:jc w:val="center"/>
              <w:cnfStyle w:val="000000000000" w:firstRow="0" w:lastRow="0" w:firstColumn="0" w:lastColumn="0" w:oddVBand="0" w:evenVBand="0" w:oddHBand="0" w:evenHBand="0" w:firstRowFirstColumn="0" w:firstRowLastColumn="0" w:lastRowFirstColumn="0" w:lastRowLastColumn="0"/>
            </w:pPr>
            <w:r w:rsidRPr="00A81A90">
              <w:t>Tiene Raíz Unitaria</w:t>
            </w:r>
          </w:p>
        </w:tc>
        <w:tc>
          <w:tcPr>
            <w:tcW w:w="1079" w:type="pct"/>
          </w:tcPr>
          <w:p w14:paraId="78469528" w14:textId="77777777" w:rsidR="00A81A90" w:rsidRPr="00A81A90" w:rsidRDefault="00A81A90" w:rsidP="00D5083D">
            <w:pPr>
              <w:jc w:val="center"/>
              <w:cnfStyle w:val="000000000000" w:firstRow="0" w:lastRow="0" w:firstColumn="0" w:lastColumn="0" w:oddVBand="0" w:evenVBand="0" w:oddHBand="0" w:evenHBand="0" w:firstRowFirstColumn="0" w:firstRowLastColumn="0" w:lastRowFirstColumn="0" w:lastRowLastColumn="0"/>
            </w:pPr>
            <w:r w:rsidRPr="00A81A90">
              <w:t>0.724</w:t>
            </w:r>
          </w:p>
        </w:tc>
        <w:tc>
          <w:tcPr>
            <w:tcW w:w="917" w:type="pct"/>
          </w:tcPr>
          <w:p w14:paraId="46D512B2" w14:textId="77777777" w:rsidR="00A81A90" w:rsidRPr="00A81A90" w:rsidRDefault="00A81A90" w:rsidP="00D5083D">
            <w:pPr>
              <w:ind w:firstLine="0"/>
              <w:jc w:val="center"/>
              <w:cnfStyle w:val="000000000000" w:firstRow="0" w:lastRow="0" w:firstColumn="0" w:lastColumn="0" w:oddVBand="0" w:evenVBand="0" w:oddHBand="0" w:evenHBand="0" w:firstRowFirstColumn="0" w:firstRowLastColumn="0" w:lastRowFirstColumn="0" w:lastRowLastColumn="0"/>
            </w:pPr>
            <w:r w:rsidRPr="00A81A90">
              <w:t>No tiene Raíz Unitaria</w:t>
            </w:r>
          </w:p>
        </w:tc>
        <w:tc>
          <w:tcPr>
            <w:tcW w:w="1081" w:type="pct"/>
          </w:tcPr>
          <w:p w14:paraId="773B178B" w14:textId="77777777" w:rsidR="00A81A90" w:rsidRPr="00A81A90" w:rsidRDefault="00A81A90" w:rsidP="00D5083D">
            <w:pPr>
              <w:keepNext/>
              <w:jc w:val="center"/>
              <w:cnfStyle w:val="000000000000" w:firstRow="0" w:lastRow="0" w:firstColumn="0" w:lastColumn="0" w:oddVBand="0" w:evenVBand="0" w:oddHBand="0" w:evenHBand="0" w:firstRowFirstColumn="0" w:firstRowLastColumn="0" w:lastRowFirstColumn="0" w:lastRowLastColumn="0"/>
            </w:pPr>
            <w:r w:rsidRPr="00A81A90">
              <w:t>0.0243</w:t>
            </w:r>
          </w:p>
        </w:tc>
      </w:tr>
    </w:tbl>
    <w:p w14:paraId="2760B0C0" w14:textId="77777777" w:rsidR="00B20D20" w:rsidRPr="00A81A90" w:rsidRDefault="00B20D20" w:rsidP="00B20D20">
      <w:pPr>
        <w:jc w:val="center"/>
        <w:rPr>
          <w:i/>
          <w:iCs/>
          <w:color w:val="44546A" w:themeColor="text2"/>
          <w:sz w:val="18"/>
          <w:szCs w:val="18"/>
        </w:rPr>
      </w:pPr>
      <w:r w:rsidRPr="00A81A90">
        <w:rPr>
          <w:i/>
          <w:iCs/>
          <w:color w:val="44546A" w:themeColor="text2"/>
          <w:sz w:val="18"/>
          <w:szCs w:val="18"/>
        </w:rPr>
        <w:t>Elaboración: Autores</w:t>
      </w:r>
    </w:p>
    <w:p w14:paraId="7779B243" w14:textId="77777777" w:rsidR="00B20D20" w:rsidRDefault="00B20D20" w:rsidP="00B20D20"/>
    <w:p w14:paraId="53380723" w14:textId="77777777" w:rsidR="00B20D20" w:rsidRDefault="00B20D20" w:rsidP="00B20D20"/>
    <w:p w14:paraId="73EC10AF" w14:textId="77777777" w:rsidR="00CB2400" w:rsidRDefault="00A81A90" w:rsidP="00CB2400">
      <w:pPr>
        <w:keepNext/>
        <w:jc w:val="center"/>
      </w:pPr>
      <w:r w:rsidRPr="00A81A90">
        <w:rPr>
          <w:noProof/>
        </w:rPr>
        <w:lastRenderedPageBreak/>
        <w:drawing>
          <wp:inline distT="0" distB="0" distL="0" distR="0" wp14:anchorId="6E8C3967" wp14:editId="0D526622">
            <wp:extent cx="3857625" cy="28055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5225" cy="2811072"/>
                    </a:xfrm>
                    <a:prstGeom prst="rect">
                      <a:avLst/>
                    </a:prstGeom>
                    <a:noFill/>
                    <a:ln>
                      <a:noFill/>
                    </a:ln>
                  </pic:spPr>
                </pic:pic>
              </a:graphicData>
            </a:graphic>
          </wp:inline>
        </w:drawing>
      </w:r>
    </w:p>
    <w:p w14:paraId="5E945479" w14:textId="4746A47A" w:rsidR="00B20D20" w:rsidRDefault="00CB2400" w:rsidP="00CB2400">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 xml:space="preserve">: </w:t>
      </w:r>
      <w:r w:rsidRPr="009842CF">
        <w:t>Precio de Cierre diferenciada una vez</w:t>
      </w:r>
    </w:p>
    <w:p w14:paraId="2C17AEE4" w14:textId="77777777" w:rsidR="00B20D20" w:rsidRPr="00B20D20" w:rsidRDefault="00B20D20" w:rsidP="00B20D20"/>
    <w:p w14:paraId="12DFC3B4" w14:textId="176FE77D" w:rsidR="00A81A90" w:rsidRDefault="00A81A90" w:rsidP="00B20D20">
      <w:r w:rsidRPr="00A81A90">
        <w:t>Posterior a la diferenciación de la serie, se procede a encontrar los rezagos adecuados para la parte autorregresiva y medias móviles para el modelo ARIMA mediante los correlogramas:</w:t>
      </w:r>
    </w:p>
    <w:p w14:paraId="3B106893" w14:textId="77777777" w:rsidR="00B20D20" w:rsidRPr="00A81A90" w:rsidRDefault="00B20D20" w:rsidP="00B20D20"/>
    <w:p w14:paraId="488281AE" w14:textId="77777777" w:rsidR="00B20D20" w:rsidRDefault="00A81A90" w:rsidP="00B20D20">
      <w:pPr>
        <w:keepNext/>
        <w:jc w:val="center"/>
      </w:pPr>
      <w:r w:rsidRPr="00A81A90">
        <w:rPr>
          <w:noProof/>
        </w:rPr>
        <w:drawing>
          <wp:inline distT="0" distB="0" distL="0" distR="0" wp14:anchorId="04324FC2" wp14:editId="65F26B33">
            <wp:extent cx="3686175" cy="268085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9873" cy="2683545"/>
                    </a:xfrm>
                    <a:prstGeom prst="rect">
                      <a:avLst/>
                    </a:prstGeom>
                    <a:noFill/>
                    <a:ln>
                      <a:noFill/>
                    </a:ln>
                  </pic:spPr>
                </pic:pic>
              </a:graphicData>
            </a:graphic>
          </wp:inline>
        </w:drawing>
      </w:r>
    </w:p>
    <w:p w14:paraId="2D6389A3" w14:textId="5D2A82F4" w:rsidR="00A81A90" w:rsidRDefault="00B20D20" w:rsidP="00B20D20">
      <w:pPr>
        <w:pStyle w:val="Descripcin"/>
        <w:jc w:val="center"/>
      </w:pPr>
      <w:r>
        <w:t xml:space="preserve">Ilustración </w:t>
      </w:r>
      <w:r>
        <w:fldChar w:fldCharType="begin"/>
      </w:r>
      <w:r>
        <w:instrText xml:space="preserve"> SEQ Ilustración \* ARABIC </w:instrText>
      </w:r>
      <w:r>
        <w:fldChar w:fldCharType="separate"/>
      </w:r>
      <w:r w:rsidR="00CB2400">
        <w:rPr>
          <w:noProof/>
        </w:rPr>
        <w:t>5</w:t>
      </w:r>
      <w:r>
        <w:fldChar w:fldCharType="end"/>
      </w:r>
      <w:r>
        <w:t>: Autocorrelograma simple ARIMA</w:t>
      </w:r>
    </w:p>
    <w:p w14:paraId="62891F23" w14:textId="77777777" w:rsidR="00B20D20" w:rsidRPr="00B20D20" w:rsidRDefault="00B20D20" w:rsidP="00B20D20"/>
    <w:p w14:paraId="5EA4035C" w14:textId="368DCB0F" w:rsidR="00A81A90" w:rsidRDefault="00A81A90" w:rsidP="00B20D20">
      <w:r w:rsidRPr="00A81A90">
        <w:t xml:space="preserve">El </w:t>
      </w:r>
      <w:r w:rsidR="00B20D20">
        <w:t>a</w:t>
      </w:r>
      <w:r w:rsidR="00B20D20" w:rsidRPr="00A81A90">
        <w:t>utocorrelograma</w:t>
      </w:r>
      <w:r w:rsidRPr="00A81A90">
        <w:t xml:space="preserve"> simple nos indica que la parte MA(q) debería ser probado con 2/5/7 medias móviles.</w:t>
      </w:r>
    </w:p>
    <w:p w14:paraId="78B3BC56" w14:textId="77777777" w:rsidR="00775752" w:rsidRPr="00A81A90" w:rsidRDefault="00775752" w:rsidP="00B20D20"/>
    <w:p w14:paraId="46BD935D" w14:textId="77777777" w:rsidR="00B20D20" w:rsidRDefault="00A81A90" w:rsidP="00B20D20">
      <w:pPr>
        <w:keepNext/>
        <w:jc w:val="center"/>
      </w:pPr>
      <w:r w:rsidRPr="00A81A90">
        <w:rPr>
          <w:noProof/>
        </w:rPr>
        <w:lastRenderedPageBreak/>
        <w:drawing>
          <wp:inline distT="0" distB="0" distL="0" distR="0" wp14:anchorId="0B66B1B9" wp14:editId="77CE2F1B">
            <wp:extent cx="4133850" cy="3006436"/>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6163" cy="3008118"/>
                    </a:xfrm>
                    <a:prstGeom prst="rect">
                      <a:avLst/>
                    </a:prstGeom>
                    <a:noFill/>
                    <a:ln>
                      <a:noFill/>
                    </a:ln>
                  </pic:spPr>
                </pic:pic>
              </a:graphicData>
            </a:graphic>
          </wp:inline>
        </w:drawing>
      </w:r>
    </w:p>
    <w:p w14:paraId="5521D5C2" w14:textId="2A01B5C4" w:rsidR="00A81A90" w:rsidRDefault="00B20D20" w:rsidP="00B20D20">
      <w:pPr>
        <w:pStyle w:val="Descripcin"/>
        <w:jc w:val="center"/>
      </w:pPr>
      <w:r>
        <w:t xml:space="preserve">Ilustración </w:t>
      </w:r>
      <w:r>
        <w:fldChar w:fldCharType="begin"/>
      </w:r>
      <w:r>
        <w:instrText xml:space="preserve"> SEQ Ilustración \* ARABIC </w:instrText>
      </w:r>
      <w:r>
        <w:fldChar w:fldCharType="separate"/>
      </w:r>
      <w:r w:rsidR="00CB2400">
        <w:rPr>
          <w:noProof/>
        </w:rPr>
        <w:t>6</w:t>
      </w:r>
      <w:r>
        <w:fldChar w:fldCharType="end"/>
      </w:r>
      <w:r>
        <w:t>: Autocorrelograma parcial ARIMA</w:t>
      </w:r>
    </w:p>
    <w:p w14:paraId="515A9652" w14:textId="77777777" w:rsidR="00B20D20" w:rsidRPr="00B20D20" w:rsidRDefault="00B20D20" w:rsidP="00B20D20"/>
    <w:p w14:paraId="0E125E8D" w14:textId="77777777" w:rsidR="00A81A90" w:rsidRPr="00A81A90" w:rsidRDefault="00A81A90" w:rsidP="00B20D20">
      <w:r w:rsidRPr="00A81A90">
        <w:t>El correlograma parcial nos sugiere usar los rezagos 2/5/7/12 para estimar la parte AR(p).</w:t>
      </w:r>
    </w:p>
    <w:p w14:paraId="432308A7" w14:textId="77777777" w:rsidR="00763CF7" w:rsidRDefault="00763CF7" w:rsidP="00B20D20"/>
    <w:p w14:paraId="71C2105A" w14:textId="7EF61F7D" w:rsidR="00A81A90" w:rsidRPr="00A81A90" w:rsidRDefault="00A81A90" w:rsidP="00B20D20">
      <w:r w:rsidRPr="00A81A90">
        <w:t>Después de haber probado las diferentes combinaciones de autorregresivos y medias móviles propuestas por los correlogramas</w:t>
      </w:r>
      <w:r w:rsidRPr="00A81A90">
        <w:rPr>
          <w:rStyle w:val="Refdenotaalpie"/>
        </w:rPr>
        <w:footnoteReference w:id="3"/>
      </w:r>
      <w:r w:rsidRPr="00A81A90">
        <w:t xml:space="preserve">  el mejor modelo es:</w:t>
      </w:r>
    </w:p>
    <w:p w14:paraId="3CFA3153" w14:textId="6BE53C85" w:rsidR="00A81A90" w:rsidRPr="00B20D20" w:rsidRDefault="00A81A90" w:rsidP="00B20D20">
      <w:pPr>
        <w:rPr>
          <w:rFonts w:eastAsiaTheme="minorEastAsia"/>
        </w:rPr>
      </w:pPr>
      <m:oMathPara>
        <m:oMath>
          <m:r>
            <w:rPr>
              <w:rFonts w:ascii="Cambria Math" w:hAnsi="Cambria Math"/>
            </w:rPr>
            <m:t xml:space="preserve">ARIMA </m:t>
          </m:r>
          <m:d>
            <m:dPr>
              <m:ctrlPr>
                <w:rPr>
                  <w:rFonts w:ascii="Cambria Math" w:hAnsi="Cambria Math"/>
                  <w:i/>
                </w:rPr>
              </m:ctrlPr>
            </m:dPr>
            <m:e>
              <m:r>
                <w:rPr>
                  <w:rFonts w:ascii="Cambria Math" w:hAnsi="Cambria Math"/>
                </w:rPr>
                <m:t>p,d,q</m:t>
              </m:r>
            </m:e>
          </m:d>
          <m:r>
            <w:rPr>
              <w:rFonts w:ascii="Cambria Math" w:hAnsi="Cambria Math"/>
            </w:rPr>
            <m:t>=ARIMA (2,1,2)</m:t>
          </m:r>
        </m:oMath>
      </m:oMathPara>
    </w:p>
    <w:p w14:paraId="544FBA38" w14:textId="610F0EAF" w:rsidR="00B20D20" w:rsidRDefault="00B20D20" w:rsidP="00B20D20">
      <w:pPr>
        <w:rPr>
          <w:rFonts w:eastAsiaTheme="minorEastAsia"/>
        </w:rPr>
      </w:pPr>
    </w:p>
    <w:p w14:paraId="19B34A16" w14:textId="0E2DE0CC" w:rsidR="00297841" w:rsidRDefault="00297841" w:rsidP="00B20D20">
      <w:pPr>
        <w:rPr>
          <w:rFonts w:eastAsiaTheme="minorEastAsia"/>
        </w:rPr>
      </w:pPr>
    </w:p>
    <w:p w14:paraId="1115AB6F" w14:textId="075E7315" w:rsidR="00297841" w:rsidRDefault="00297841" w:rsidP="00B20D20">
      <w:pPr>
        <w:rPr>
          <w:rFonts w:eastAsiaTheme="minorEastAsia"/>
        </w:rPr>
      </w:pPr>
    </w:p>
    <w:p w14:paraId="4D71911E" w14:textId="18D91759" w:rsidR="00297841" w:rsidRDefault="00297841" w:rsidP="00B20D20">
      <w:pPr>
        <w:rPr>
          <w:rFonts w:eastAsiaTheme="minorEastAsia"/>
        </w:rPr>
      </w:pPr>
    </w:p>
    <w:p w14:paraId="5B6176F0" w14:textId="451CCB93" w:rsidR="00297841" w:rsidRDefault="00297841" w:rsidP="00B20D20">
      <w:pPr>
        <w:rPr>
          <w:rFonts w:eastAsiaTheme="minorEastAsia"/>
        </w:rPr>
      </w:pPr>
    </w:p>
    <w:p w14:paraId="7CBA9FF0" w14:textId="1E96BCB7" w:rsidR="00297841" w:rsidRDefault="00297841" w:rsidP="00B20D20">
      <w:pPr>
        <w:rPr>
          <w:rFonts w:eastAsiaTheme="minorEastAsia"/>
        </w:rPr>
      </w:pPr>
    </w:p>
    <w:p w14:paraId="17D27C25" w14:textId="00F14BBF" w:rsidR="00297841" w:rsidRDefault="00297841" w:rsidP="00B20D20">
      <w:pPr>
        <w:rPr>
          <w:rFonts w:eastAsiaTheme="minorEastAsia"/>
        </w:rPr>
      </w:pPr>
    </w:p>
    <w:p w14:paraId="43F3899F" w14:textId="70F36B2E" w:rsidR="00297841" w:rsidRDefault="00297841" w:rsidP="00B20D20">
      <w:pPr>
        <w:rPr>
          <w:rFonts w:eastAsiaTheme="minorEastAsia"/>
        </w:rPr>
      </w:pPr>
    </w:p>
    <w:p w14:paraId="4563C7E2" w14:textId="77777777" w:rsidR="00297841" w:rsidRPr="00A81A90" w:rsidRDefault="00297841" w:rsidP="00B20D20">
      <w:pPr>
        <w:rPr>
          <w:rFonts w:eastAsiaTheme="minorEastAsia"/>
        </w:rPr>
      </w:pPr>
    </w:p>
    <w:p w14:paraId="29AFD4F7" w14:textId="473EEC40" w:rsidR="00CB2400" w:rsidRDefault="00CB2400" w:rsidP="00CB2400">
      <w:pPr>
        <w:pStyle w:val="Descripcin"/>
        <w:keepNext/>
        <w:jc w:val="center"/>
      </w:pPr>
      <w:r>
        <w:lastRenderedPageBreak/>
        <w:t xml:space="preserve">Tabla </w:t>
      </w:r>
      <w:r>
        <w:fldChar w:fldCharType="begin"/>
      </w:r>
      <w:r>
        <w:instrText xml:space="preserve"> SEQ Tabla \* ARABIC </w:instrText>
      </w:r>
      <w:r>
        <w:fldChar w:fldCharType="separate"/>
      </w:r>
      <w:r>
        <w:rPr>
          <w:noProof/>
        </w:rPr>
        <w:t>2</w:t>
      </w:r>
      <w:r>
        <w:fldChar w:fldCharType="end"/>
      </w:r>
      <w:r>
        <w:t>: Estimación final del modelo ARIMA</w:t>
      </w:r>
    </w:p>
    <w:tbl>
      <w:tblPr>
        <w:tblW w:w="5000" w:type="pct"/>
        <w:tblLook w:val="0000" w:firstRow="0" w:lastRow="0" w:firstColumn="0" w:lastColumn="0" w:noHBand="0" w:noVBand="0"/>
      </w:tblPr>
      <w:tblGrid>
        <w:gridCol w:w="1560"/>
        <w:gridCol w:w="592"/>
        <w:gridCol w:w="411"/>
        <w:gridCol w:w="1073"/>
        <w:gridCol w:w="62"/>
        <w:gridCol w:w="934"/>
        <w:gridCol w:w="773"/>
        <w:gridCol w:w="507"/>
        <w:gridCol w:w="507"/>
        <w:gridCol w:w="1204"/>
        <w:gridCol w:w="51"/>
        <w:gridCol w:w="830"/>
      </w:tblGrid>
      <w:tr w:rsidR="00297841" w:rsidRPr="00297841" w14:paraId="4EC767D4" w14:textId="77777777" w:rsidTr="00CB2400">
        <w:tc>
          <w:tcPr>
            <w:tcW w:w="919" w:type="pct"/>
            <w:tcBorders>
              <w:top w:val="single" w:sz="4" w:space="0" w:color="auto"/>
              <w:left w:val="nil"/>
              <w:bottom w:val="single" w:sz="8" w:space="0" w:color="auto"/>
              <w:right w:val="nil"/>
            </w:tcBorders>
          </w:tcPr>
          <w:p w14:paraId="654314E4" w14:textId="17160989" w:rsidR="00A81A90" w:rsidRPr="00297841" w:rsidRDefault="00B20D20" w:rsidP="00B20D20">
            <w:pPr>
              <w:jc w:val="center"/>
              <w:rPr>
                <w:b/>
                <w:bCs/>
                <w:sz w:val="22"/>
                <w:szCs w:val="20"/>
                <w:lang w:val="en-US"/>
              </w:rPr>
            </w:pPr>
            <w:r w:rsidRPr="00297841">
              <w:rPr>
                <w:b/>
                <w:bCs/>
                <w:sz w:val="22"/>
                <w:szCs w:val="20"/>
                <w:lang w:val="en-US"/>
              </w:rPr>
              <w:t>Precio de Cierre</w:t>
            </w:r>
          </w:p>
        </w:tc>
        <w:tc>
          <w:tcPr>
            <w:tcW w:w="593" w:type="pct"/>
            <w:gridSpan w:val="2"/>
            <w:tcBorders>
              <w:top w:val="single" w:sz="4" w:space="0" w:color="auto"/>
              <w:left w:val="nil"/>
              <w:bottom w:val="single" w:sz="8" w:space="0" w:color="auto"/>
              <w:right w:val="nil"/>
            </w:tcBorders>
          </w:tcPr>
          <w:p w14:paraId="59856391" w14:textId="7E65FCE7" w:rsidR="00A81A90" w:rsidRPr="00297841" w:rsidRDefault="00A81A90" w:rsidP="00B20D20">
            <w:pPr>
              <w:jc w:val="center"/>
              <w:rPr>
                <w:b/>
                <w:bCs/>
                <w:sz w:val="22"/>
                <w:szCs w:val="20"/>
                <w:lang w:val="en-US"/>
              </w:rPr>
            </w:pPr>
            <w:r w:rsidRPr="00297841">
              <w:rPr>
                <w:b/>
                <w:bCs/>
                <w:sz w:val="22"/>
                <w:szCs w:val="20"/>
                <w:lang w:val="en-US"/>
              </w:rPr>
              <w:t>Coef.</w:t>
            </w:r>
          </w:p>
        </w:tc>
        <w:tc>
          <w:tcPr>
            <w:tcW w:w="632" w:type="pct"/>
            <w:tcBorders>
              <w:top w:val="single" w:sz="4" w:space="0" w:color="auto"/>
              <w:left w:val="nil"/>
              <w:bottom w:val="single" w:sz="8" w:space="0" w:color="auto"/>
              <w:right w:val="nil"/>
            </w:tcBorders>
          </w:tcPr>
          <w:p w14:paraId="6D498B5D" w14:textId="22B64E1A" w:rsidR="00A81A90" w:rsidRPr="00297841" w:rsidRDefault="00297841" w:rsidP="00B20D20">
            <w:pPr>
              <w:jc w:val="center"/>
              <w:rPr>
                <w:b/>
                <w:bCs/>
                <w:sz w:val="22"/>
                <w:szCs w:val="20"/>
                <w:lang w:val="en-US"/>
              </w:rPr>
            </w:pPr>
            <w:r w:rsidRPr="00297841">
              <w:rPr>
                <w:b/>
                <w:bCs/>
                <w:sz w:val="22"/>
                <w:szCs w:val="20"/>
                <w:lang w:val="en-US"/>
              </w:rPr>
              <w:t xml:space="preserve">Err, </w:t>
            </w:r>
            <w:proofErr w:type="spellStart"/>
            <w:r w:rsidRPr="00297841">
              <w:rPr>
                <w:b/>
                <w:bCs/>
                <w:sz w:val="22"/>
                <w:szCs w:val="20"/>
                <w:lang w:val="en-US"/>
              </w:rPr>
              <w:t>Estand</w:t>
            </w:r>
            <w:proofErr w:type="spellEnd"/>
            <w:r w:rsidR="00A81A90" w:rsidRPr="00297841">
              <w:rPr>
                <w:b/>
                <w:bCs/>
                <w:sz w:val="22"/>
                <w:szCs w:val="20"/>
                <w:lang w:val="en-US"/>
              </w:rPr>
              <w:t>.</w:t>
            </w:r>
          </w:p>
        </w:tc>
        <w:tc>
          <w:tcPr>
            <w:tcW w:w="586" w:type="pct"/>
            <w:gridSpan w:val="2"/>
            <w:tcBorders>
              <w:top w:val="single" w:sz="4" w:space="0" w:color="auto"/>
              <w:left w:val="nil"/>
              <w:bottom w:val="single" w:sz="8" w:space="0" w:color="auto"/>
              <w:right w:val="nil"/>
            </w:tcBorders>
          </w:tcPr>
          <w:p w14:paraId="397458E2" w14:textId="4BB4E2B6" w:rsidR="00A81A90" w:rsidRPr="00297841" w:rsidRDefault="00A81A90" w:rsidP="00B20D20">
            <w:pPr>
              <w:jc w:val="center"/>
              <w:rPr>
                <w:b/>
                <w:bCs/>
                <w:sz w:val="22"/>
                <w:szCs w:val="20"/>
                <w:lang w:val="en-US"/>
              </w:rPr>
            </w:pPr>
            <w:r w:rsidRPr="00297841">
              <w:rPr>
                <w:b/>
                <w:bCs/>
                <w:sz w:val="22"/>
                <w:szCs w:val="20"/>
                <w:lang w:val="en-US"/>
              </w:rPr>
              <w:t>t-va</w:t>
            </w:r>
            <w:r w:rsidR="00297841" w:rsidRPr="00297841">
              <w:rPr>
                <w:b/>
                <w:bCs/>
                <w:sz w:val="22"/>
                <w:szCs w:val="20"/>
                <w:lang w:val="en-US"/>
              </w:rPr>
              <w:t>lor</w:t>
            </w:r>
          </w:p>
        </w:tc>
        <w:tc>
          <w:tcPr>
            <w:tcW w:w="456" w:type="pct"/>
            <w:tcBorders>
              <w:top w:val="single" w:sz="4" w:space="0" w:color="auto"/>
              <w:left w:val="nil"/>
              <w:bottom w:val="single" w:sz="8" w:space="0" w:color="auto"/>
              <w:right w:val="nil"/>
            </w:tcBorders>
          </w:tcPr>
          <w:p w14:paraId="3F82B7BC" w14:textId="5990A50C" w:rsidR="00A81A90" w:rsidRPr="00297841" w:rsidRDefault="00A81A90" w:rsidP="00297841">
            <w:pPr>
              <w:ind w:firstLine="0"/>
              <w:rPr>
                <w:b/>
                <w:bCs/>
                <w:sz w:val="22"/>
                <w:szCs w:val="20"/>
                <w:lang w:val="en-US"/>
              </w:rPr>
            </w:pPr>
            <w:r w:rsidRPr="00297841">
              <w:rPr>
                <w:b/>
                <w:bCs/>
                <w:sz w:val="22"/>
                <w:szCs w:val="20"/>
                <w:lang w:val="en-US"/>
              </w:rPr>
              <w:t>p-val</w:t>
            </w:r>
            <w:r w:rsidR="00297841" w:rsidRPr="00297841">
              <w:rPr>
                <w:b/>
                <w:bCs/>
                <w:sz w:val="22"/>
                <w:szCs w:val="20"/>
                <w:lang w:val="en-US"/>
              </w:rPr>
              <w:t>or</w:t>
            </w:r>
          </w:p>
        </w:tc>
        <w:tc>
          <w:tcPr>
            <w:tcW w:w="587" w:type="pct"/>
            <w:gridSpan w:val="2"/>
            <w:tcBorders>
              <w:top w:val="single" w:sz="4" w:space="0" w:color="auto"/>
              <w:left w:val="nil"/>
              <w:bottom w:val="single" w:sz="8" w:space="0" w:color="auto"/>
              <w:right w:val="nil"/>
            </w:tcBorders>
          </w:tcPr>
          <w:p w14:paraId="14CF74C7" w14:textId="242BC2CD" w:rsidR="00A81A90" w:rsidRPr="00297841" w:rsidRDefault="00A81A90" w:rsidP="00B20D20">
            <w:pPr>
              <w:jc w:val="center"/>
              <w:rPr>
                <w:b/>
                <w:bCs/>
                <w:sz w:val="22"/>
                <w:szCs w:val="20"/>
                <w:lang w:val="en-US"/>
              </w:rPr>
            </w:pPr>
            <w:r w:rsidRPr="00297841">
              <w:rPr>
                <w:b/>
                <w:bCs/>
                <w:sz w:val="22"/>
                <w:szCs w:val="20"/>
                <w:lang w:val="en-US"/>
              </w:rPr>
              <w:t xml:space="preserve">[95% </w:t>
            </w:r>
          </w:p>
        </w:tc>
        <w:tc>
          <w:tcPr>
            <w:tcW w:w="740" w:type="pct"/>
            <w:gridSpan w:val="2"/>
            <w:tcBorders>
              <w:top w:val="single" w:sz="4" w:space="0" w:color="auto"/>
              <w:left w:val="nil"/>
              <w:bottom w:val="single" w:sz="8" w:space="0" w:color="auto"/>
              <w:right w:val="nil"/>
            </w:tcBorders>
          </w:tcPr>
          <w:p w14:paraId="75BFA2B9" w14:textId="037E1BB8" w:rsidR="00A81A90" w:rsidRPr="00297841" w:rsidRDefault="00297841" w:rsidP="00297841">
            <w:pPr>
              <w:ind w:firstLine="0"/>
              <w:rPr>
                <w:b/>
                <w:bCs/>
                <w:sz w:val="22"/>
                <w:szCs w:val="20"/>
                <w:lang w:val="en-US"/>
              </w:rPr>
            </w:pPr>
            <w:r w:rsidRPr="00297841">
              <w:rPr>
                <w:b/>
                <w:bCs/>
                <w:sz w:val="22"/>
                <w:szCs w:val="20"/>
                <w:lang w:val="en-US"/>
              </w:rPr>
              <w:t>Inter. de Conf</w:t>
            </w:r>
            <w:r w:rsidR="00A81A90" w:rsidRPr="00297841">
              <w:rPr>
                <w:b/>
                <w:bCs/>
                <w:sz w:val="22"/>
                <w:szCs w:val="20"/>
                <w:lang w:val="en-US"/>
              </w:rPr>
              <w:t>]</w:t>
            </w:r>
          </w:p>
        </w:tc>
        <w:tc>
          <w:tcPr>
            <w:tcW w:w="488" w:type="pct"/>
            <w:tcBorders>
              <w:top w:val="single" w:sz="4" w:space="0" w:color="auto"/>
              <w:left w:val="nil"/>
              <w:bottom w:val="single" w:sz="8" w:space="0" w:color="auto"/>
              <w:right w:val="nil"/>
            </w:tcBorders>
          </w:tcPr>
          <w:p w14:paraId="53D28865" w14:textId="3DDCF77B" w:rsidR="00A81A90" w:rsidRPr="00297841" w:rsidRDefault="00A81A90" w:rsidP="00B20D20">
            <w:pPr>
              <w:jc w:val="center"/>
              <w:rPr>
                <w:b/>
                <w:bCs/>
                <w:sz w:val="22"/>
                <w:szCs w:val="20"/>
                <w:lang w:val="en-US"/>
              </w:rPr>
            </w:pPr>
          </w:p>
        </w:tc>
      </w:tr>
      <w:tr w:rsidR="00297841" w:rsidRPr="00B20D20" w14:paraId="25AC9649" w14:textId="77777777" w:rsidTr="00CB2400">
        <w:tc>
          <w:tcPr>
            <w:tcW w:w="919" w:type="pct"/>
            <w:tcBorders>
              <w:top w:val="nil"/>
              <w:left w:val="nil"/>
              <w:bottom w:val="nil"/>
              <w:right w:val="nil"/>
            </w:tcBorders>
          </w:tcPr>
          <w:p w14:paraId="52E70163" w14:textId="77777777" w:rsidR="00A81A90" w:rsidRPr="00297841" w:rsidRDefault="00A81A90" w:rsidP="00B20D20">
            <w:pPr>
              <w:jc w:val="center"/>
              <w:rPr>
                <w:b/>
                <w:bCs/>
                <w:sz w:val="22"/>
                <w:szCs w:val="20"/>
                <w:lang w:val="en-US"/>
              </w:rPr>
            </w:pPr>
            <w:r w:rsidRPr="00297841">
              <w:rPr>
                <w:b/>
                <w:bCs/>
                <w:sz w:val="22"/>
                <w:szCs w:val="20"/>
                <w:lang w:val="en-US"/>
              </w:rPr>
              <w:t>L.ar</w:t>
            </w:r>
          </w:p>
        </w:tc>
        <w:tc>
          <w:tcPr>
            <w:tcW w:w="593" w:type="pct"/>
            <w:gridSpan w:val="2"/>
            <w:tcBorders>
              <w:top w:val="nil"/>
              <w:left w:val="nil"/>
              <w:bottom w:val="nil"/>
              <w:right w:val="nil"/>
            </w:tcBorders>
          </w:tcPr>
          <w:p w14:paraId="032D16D9" w14:textId="77777777" w:rsidR="00A81A90" w:rsidRPr="00B20D20" w:rsidRDefault="00A81A90" w:rsidP="00297841">
            <w:pPr>
              <w:jc w:val="center"/>
              <w:rPr>
                <w:sz w:val="22"/>
                <w:szCs w:val="20"/>
                <w:lang w:val="en-US"/>
              </w:rPr>
            </w:pPr>
            <w:r w:rsidRPr="00B20D20">
              <w:rPr>
                <w:sz w:val="22"/>
                <w:szCs w:val="20"/>
                <w:lang w:val="en-US"/>
              </w:rPr>
              <w:t>-.556</w:t>
            </w:r>
          </w:p>
        </w:tc>
        <w:tc>
          <w:tcPr>
            <w:tcW w:w="632" w:type="pct"/>
            <w:tcBorders>
              <w:top w:val="nil"/>
              <w:left w:val="nil"/>
              <w:bottom w:val="nil"/>
              <w:right w:val="nil"/>
            </w:tcBorders>
          </w:tcPr>
          <w:p w14:paraId="73D23B2D" w14:textId="77777777" w:rsidR="00A81A90" w:rsidRPr="00B20D20" w:rsidRDefault="00A81A90" w:rsidP="00297841">
            <w:pPr>
              <w:jc w:val="center"/>
              <w:rPr>
                <w:sz w:val="22"/>
                <w:szCs w:val="20"/>
                <w:lang w:val="en-US"/>
              </w:rPr>
            </w:pPr>
            <w:r w:rsidRPr="00B20D20">
              <w:rPr>
                <w:sz w:val="22"/>
                <w:szCs w:val="20"/>
                <w:lang w:val="en-US"/>
              </w:rPr>
              <w:t>.033</w:t>
            </w:r>
          </w:p>
        </w:tc>
        <w:tc>
          <w:tcPr>
            <w:tcW w:w="586" w:type="pct"/>
            <w:gridSpan w:val="2"/>
            <w:tcBorders>
              <w:top w:val="nil"/>
              <w:left w:val="nil"/>
              <w:bottom w:val="nil"/>
              <w:right w:val="nil"/>
            </w:tcBorders>
          </w:tcPr>
          <w:p w14:paraId="63351DF7" w14:textId="77777777" w:rsidR="00A81A90" w:rsidRPr="00B20D20" w:rsidRDefault="00A81A90" w:rsidP="00297841">
            <w:pPr>
              <w:jc w:val="center"/>
              <w:rPr>
                <w:sz w:val="22"/>
                <w:szCs w:val="20"/>
                <w:lang w:val="en-US"/>
              </w:rPr>
            </w:pPr>
            <w:r w:rsidRPr="00B20D20">
              <w:rPr>
                <w:sz w:val="22"/>
                <w:szCs w:val="20"/>
                <w:lang w:val="en-US"/>
              </w:rPr>
              <w:t>-16.93</w:t>
            </w:r>
          </w:p>
        </w:tc>
        <w:tc>
          <w:tcPr>
            <w:tcW w:w="456" w:type="pct"/>
            <w:tcBorders>
              <w:top w:val="nil"/>
              <w:left w:val="nil"/>
              <w:bottom w:val="nil"/>
              <w:right w:val="nil"/>
            </w:tcBorders>
          </w:tcPr>
          <w:p w14:paraId="07CB7DCD" w14:textId="77777777" w:rsidR="00A81A90" w:rsidRPr="00B20D20" w:rsidRDefault="00A81A90" w:rsidP="00297841">
            <w:pPr>
              <w:jc w:val="center"/>
              <w:rPr>
                <w:sz w:val="22"/>
                <w:szCs w:val="20"/>
                <w:lang w:val="en-US"/>
              </w:rPr>
            </w:pPr>
            <w:r w:rsidRPr="00B20D20">
              <w:rPr>
                <w:sz w:val="22"/>
                <w:szCs w:val="20"/>
                <w:lang w:val="en-US"/>
              </w:rPr>
              <w:t>0</w:t>
            </w:r>
          </w:p>
        </w:tc>
        <w:tc>
          <w:tcPr>
            <w:tcW w:w="587" w:type="pct"/>
            <w:gridSpan w:val="2"/>
            <w:tcBorders>
              <w:top w:val="nil"/>
              <w:left w:val="nil"/>
              <w:bottom w:val="nil"/>
              <w:right w:val="nil"/>
            </w:tcBorders>
          </w:tcPr>
          <w:p w14:paraId="24A5D89F" w14:textId="77777777" w:rsidR="00A81A90" w:rsidRPr="00B20D20" w:rsidRDefault="00A81A90" w:rsidP="00297841">
            <w:pPr>
              <w:jc w:val="center"/>
              <w:rPr>
                <w:sz w:val="22"/>
                <w:szCs w:val="20"/>
                <w:lang w:val="en-US"/>
              </w:rPr>
            </w:pPr>
            <w:r w:rsidRPr="00B20D20">
              <w:rPr>
                <w:sz w:val="22"/>
                <w:szCs w:val="20"/>
                <w:lang w:val="en-US"/>
              </w:rPr>
              <w:t>-.62</w:t>
            </w:r>
          </w:p>
        </w:tc>
        <w:tc>
          <w:tcPr>
            <w:tcW w:w="740" w:type="pct"/>
            <w:gridSpan w:val="2"/>
            <w:tcBorders>
              <w:top w:val="nil"/>
              <w:left w:val="nil"/>
              <w:bottom w:val="nil"/>
              <w:right w:val="nil"/>
            </w:tcBorders>
          </w:tcPr>
          <w:p w14:paraId="0974199E" w14:textId="77777777" w:rsidR="00A81A90" w:rsidRPr="00B20D20" w:rsidRDefault="00A81A90" w:rsidP="00297841">
            <w:pPr>
              <w:jc w:val="center"/>
              <w:rPr>
                <w:sz w:val="22"/>
                <w:szCs w:val="20"/>
                <w:lang w:val="en-US"/>
              </w:rPr>
            </w:pPr>
            <w:r w:rsidRPr="00B20D20">
              <w:rPr>
                <w:sz w:val="22"/>
                <w:szCs w:val="20"/>
                <w:lang w:val="en-US"/>
              </w:rPr>
              <w:t>-.491</w:t>
            </w:r>
          </w:p>
        </w:tc>
        <w:tc>
          <w:tcPr>
            <w:tcW w:w="488" w:type="pct"/>
            <w:tcBorders>
              <w:top w:val="nil"/>
              <w:left w:val="nil"/>
              <w:bottom w:val="nil"/>
              <w:right w:val="nil"/>
            </w:tcBorders>
          </w:tcPr>
          <w:p w14:paraId="46076B4F" w14:textId="77777777" w:rsidR="00A81A90" w:rsidRPr="00B20D20" w:rsidRDefault="00A81A90" w:rsidP="00297841">
            <w:pPr>
              <w:jc w:val="center"/>
              <w:rPr>
                <w:sz w:val="22"/>
                <w:szCs w:val="20"/>
                <w:lang w:val="en-US"/>
              </w:rPr>
            </w:pPr>
            <w:r w:rsidRPr="00B20D20">
              <w:rPr>
                <w:sz w:val="22"/>
                <w:szCs w:val="20"/>
                <w:lang w:val="en-US"/>
              </w:rPr>
              <w:t>***</w:t>
            </w:r>
          </w:p>
        </w:tc>
      </w:tr>
      <w:tr w:rsidR="00297841" w:rsidRPr="00B20D20" w14:paraId="304E3DEC" w14:textId="77777777" w:rsidTr="00CB2400">
        <w:tc>
          <w:tcPr>
            <w:tcW w:w="919" w:type="pct"/>
            <w:tcBorders>
              <w:top w:val="nil"/>
              <w:left w:val="nil"/>
              <w:bottom w:val="nil"/>
              <w:right w:val="nil"/>
            </w:tcBorders>
          </w:tcPr>
          <w:p w14:paraId="690E272A" w14:textId="77777777" w:rsidR="00A81A90" w:rsidRPr="00297841" w:rsidRDefault="00A81A90" w:rsidP="00B20D20">
            <w:pPr>
              <w:jc w:val="center"/>
              <w:rPr>
                <w:b/>
                <w:bCs/>
                <w:sz w:val="22"/>
                <w:szCs w:val="20"/>
                <w:lang w:val="en-US"/>
              </w:rPr>
            </w:pPr>
            <w:r w:rsidRPr="00297841">
              <w:rPr>
                <w:b/>
                <w:bCs/>
                <w:sz w:val="22"/>
                <w:szCs w:val="20"/>
                <w:lang w:val="en-US"/>
              </w:rPr>
              <w:t>L2.ar</w:t>
            </w:r>
          </w:p>
        </w:tc>
        <w:tc>
          <w:tcPr>
            <w:tcW w:w="593" w:type="pct"/>
            <w:gridSpan w:val="2"/>
            <w:tcBorders>
              <w:top w:val="nil"/>
              <w:left w:val="nil"/>
              <w:bottom w:val="nil"/>
              <w:right w:val="nil"/>
            </w:tcBorders>
          </w:tcPr>
          <w:p w14:paraId="5F015C62" w14:textId="77777777" w:rsidR="00A81A90" w:rsidRPr="00B20D20" w:rsidRDefault="00A81A90" w:rsidP="00297841">
            <w:pPr>
              <w:jc w:val="center"/>
              <w:rPr>
                <w:sz w:val="22"/>
                <w:szCs w:val="20"/>
                <w:lang w:val="en-US"/>
              </w:rPr>
            </w:pPr>
            <w:r w:rsidRPr="00B20D20">
              <w:rPr>
                <w:sz w:val="22"/>
                <w:szCs w:val="20"/>
                <w:lang w:val="en-US"/>
              </w:rPr>
              <w:t>-.986</w:t>
            </w:r>
          </w:p>
        </w:tc>
        <w:tc>
          <w:tcPr>
            <w:tcW w:w="632" w:type="pct"/>
            <w:tcBorders>
              <w:top w:val="nil"/>
              <w:left w:val="nil"/>
              <w:bottom w:val="nil"/>
              <w:right w:val="nil"/>
            </w:tcBorders>
          </w:tcPr>
          <w:p w14:paraId="52420B8B" w14:textId="77777777" w:rsidR="00A81A90" w:rsidRPr="00B20D20" w:rsidRDefault="00A81A90" w:rsidP="00297841">
            <w:pPr>
              <w:jc w:val="center"/>
              <w:rPr>
                <w:sz w:val="22"/>
                <w:szCs w:val="20"/>
                <w:lang w:val="en-US"/>
              </w:rPr>
            </w:pPr>
            <w:r w:rsidRPr="00B20D20">
              <w:rPr>
                <w:sz w:val="22"/>
                <w:szCs w:val="20"/>
                <w:lang w:val="en-US"/>
              </w:rPr>
              <w:t>.034</w:t>
            </w:r>
          </w:p>
        </w:tc>
        <w:tc>
          <w:tcPr>
            <w:tcW w:w="586" w:type="pct"/>
            <w:gridSpan w:val="2"/>
            <w:tcBorders>
              <w:top w:val="nil"/>
              <w:left w:val="nil"/>
              <w:bottom w:val="nil"/>
              <w:right w:val="nil"/>
            </w:tcBorders>
          </w:tcPr>
          <w:p w14:paraId="4AC1BB92" w14:textId="77777777" w:rsidR="00A81A90" w:rsidRPr="00B20D20" w:rsidRDefault="00A81A90" w:rsidP="00297841">
            <w:pPr>
              <w:jc w:val="center"/>
              <w:rPr>
                <w:sz w:val="22"/>
                <w:szCs w:val="20"/>
                <w:lang w:val="en-US"/>
              </w:rPr>
            </w:pPr>
            <w:r w:rsidRPr="00B20D20">
              <w:rPr>
                <w:sz w:val="22"/>
                <w:szCs w:val="20"/>
                <w:lang w:val="en-US"/>
              </w:rPr>
              <w:t>-28.77</w:t>
            </w:r>
          </w:p>
        </w:tc>
        <w:tc>
          <w:tcPr>
            <w:tcW w:w="456" w:type="pct"/>
            <w:tcBorders>
              <w:top w:val="nil"/>
              <w:left w:val="nil"/>
              <w:bottom w:val="nil"/>
              <w:right w:val="nil"/>
            </w:tcBorders>
          </w:tcPr>
          <w:p w14:paraId="0545B559" w14:textId="77777777" w:rsidR="00A81A90" w:rsidRPr="00B20D20" w:rsidRDefault="00A81A90" w:rsidP="00297841">
            <w:pPr>
              <w:jc w:val="center"/>
              <w:rPr>
                <w:sz w:val="22"/>
                <w:szCs w:val="20"/>
                <w:lang w:val="en-US"/>
              </w:rPr>
            </w:pPr>
            <w:r w:rsidRPr="00B20D20">
              <w:rPr>
                <w:sz w:val="22"/>
                <w:szCs w:val="20"/>
                <w:lang w:val="en-US"/>
              </w:rPr>
              <w:t>0</w:t>
            </w:r>
          </w:p>
        </w:tc>
        <w:tc>
          <w:tcPr>
            <w:tcW w:w="587" w:type="pct"/>
            <w:gridSpan w:val="2"/>
            <w:tcBorders>
              <w:top w:val="nil"/>
              <w:left w:val="nil"/>
              <w:bottom w:val="nil"/>
              <w:right w:val="nil"/>
            </w:tcBorders>
          </w:tcPr>
          <w:p w14:paraId="5E4ABA9F" w14:textId="77777777" w:rsidR="00A81A90" w:rsidRPr="00B20D20" w:rsidRDefault="00A81A90" w:rsidP="00297841">
            <w:pPr>
              <w:jc w:val="center"/>
              <w:rPr>
                <w:sz w:val="22"/>
                <w:szCs w:val="20"/>
                <w:lang w:val="en-US"/>
              </w:rPr>
            </w:pPr>
            <w:r w:rsidRPr="00B20D20">
              <w:rPr>
                <w:sz w:val="22"/>
                <w:szCs w:val="20"/>
                <w:lang w:val="en-US"/>
              </w:rPr>
              <w:t>-1.053</w:t>
            </w:r>
          </w:p>
        </w:tc>
        <w:tc>
          <w:tcPr>
            <w:tcW w:w="740" w:type="pct"/>
            <w:gridSpan w:val="2"/>
            <w:tcBorders>
              <w:top w:val="nil"/>
              <w:left w:val="nil"/>
              <w:bottom w:val="nil"/>
              <w:right w:val="nil"/>
            </w:tcBorders>
          </w:tcPr>
          <w:p w14:paraId="73E654CD" w14:textId="77777777" w:rsidR="00A81A90" w:rsidRPr="00B20D20" w:rsidRDefault="00A81A90" w:rsidP="00297841">
            <w:pPr>
              <w:jc w:val="center"/>
              <w:rPr>
                <w:sz w:val="22"/>
                <w:szCs w:val="20"/>
                <w:lang w:val="en-US"/>
              </w:rPr>
            </w:pPr>
            <w:r w:rsidRPr="00B20D20">
              <w:rPr>
                <w:sz w:val="22"/>
                <w:szCs w:val="20"/>
                <w:lang w:val="en-US"/>
              </w:rPr>
              <w:t>-.918</w:t>
            </w:r>
          </w:p>
        </w:tc>
        <w:tc>
          <w:tcPr>
            <w:tcW w:w="488" w:type="pct"/>
            <w:tcBorders>
              <w:top w:val="nil"/>
              <w:left w:val="nil"/>
              <w:bottom w:val="nil"/>
              <w:right w:val="nil"/>
            </w:tcBorders>
          </w:tcPr>
          <w:p w14:paraId="66504404" w14:textId="77777777" w:rsidR="00A81A90" w:rsidRPr="00B20D20" w:rsidRDefault="00A81A90" w:rsidP="00297841">
            <w:pPr>
              <w:jc w:val="center"/>
              <w:rPr>
                <w:sz w:val="22"/>
                <w:szCs w:val="20"/>
                <w:lang w:val="en-US"/>
              </w:rPr>
            </w:pPr>
            <w:r w:rsidRPr="00B20D20">
              <w:rPr>
                <w:sz w:val="22"/>
                <w:szCs w:val="20"/>
                <w:lang w:val="en-US"/>
              </w:rPr>
              <w:t>***</w:t>
            </w:r>
          </w:p>
        </w:tc>
      </w:tr>
      <w:tr w:rsidR="00297841" w:rsidRPr="00B20D20" w14:paraId="546043DF" w14:textId="77777777" w:rsidTr="00CB2400">
        <w:tc>
          <w:tcPr>
            <w:tcW w:w="919" w:type="pct"/>
            <w:tcBorders>
              <w:top w:val="nil"/>
              <w:left w:val="nil"/>
              <w:bottom w:val="nil"/>
              <w:right w:val="nil"/>
            </w:tcBorders>
          </w:tcPr>
          <w:p w14:paraId="44AA52DD" w14:textId="77777777" w:rsidR="00A81A90" w:rsidRPr="00297841" w:rsidRDefault="00A81A90" w:rsidP="00B20D20">
            <w:pPr>
              <w:jc w:val="center"/>
              <w:rPr>
                <w:b/>
                <w:bCs/>
                <w:sz w:val="22"/>
                <w:szCs w:val="20"/>
                <w:lang w:val="en-US"/>
              </w:rPr>
            </w:pPr>
            <w:r w:rsidRPr="00297841">
              <w:rPr>
                <w:b/>
                <w:bCs/>
                <w:sz w:val="22"/>
                <w:szCs w:val="20"/>
                <w:lang w:val="en-US"/>
              </w:rPr>
              <w:t>L.ma</w:t>
            </w:r>
          </w:p>
        </w:tc>
        <w:tc>
          <w:tcPr>
            <w:tcW w:w="593" w:type="pct"/>
            <w:gridSpan w:val="2"/>
            <w:tcBorders>
              <w:top w:val="nil"/>
              <w:left w:val="nil"/>
              <w:bottom w:val="nil"/>
              <w:right w:val="nil"/>
            </w:tcBorders>
          </w:tcPr>
          <w:p w14:paraId="5539B0BD" w14:textId="77777777" w:rsidR="00A81A90" w:rsidRPr="00B20D20" w:rsidRDefault="00A81A90" w:rsidP="00297841">
            <w:pPr>
              <w:jc w:val="center"/>
              <w:rPr>
                <w:sz w:val="22"/>
                <w:szCs w:val="20"/>
                <w:lang w:val="en-US"/>
              </w:rPr>
            </w:pPr>
            <w:r w:rsidRPr="00B20D20">
              <w:rPr>
                <w:sz w:val="22"/>
                <w:szCs w:val="20"/>
                <w:lang w:val="en-US"/>
              </w:rPr>
              <w:t>.595</w:t>
            </w:r>
          </w:p>
        </w:tc>
        <w:tc>
          <w:tcPr>
            <w:tcW w:w="632" w:type="pct"/>
            <w:tcBorders>
              <w:top w:val="nil"/>
              <w:left w:val="nil"/>
              <w:bottom w:val="nil"/>
              <w:right w:val="nil"/>
            </w:tcBorders>
          </w:tcPr>
          <w:p w14:paraId="213E354D" w14:textId="77777777" w:rsidR="00A81A90" w:rsidRPr="00B20D20" w:rsidRDefault="00A81A90" w:rsidP="00297841">
            <w:pPr>
              <w:jc w:val="center"/>
              <w:rPr>
                <w:sz w:val="22"/>
                <w:szCs w:val="20"/>
                <w:lang w:val="en-US"/>
              </w:rPr>
            </w:pPr>
            <w:r w:rsidRPr="00B20D20">
              <w:rPr>
                <w:sz w:val="22"/>
                <w:szCs w:val="20"/>
                <w:lang w:val="en-US"/>
              </w:rPr>
              <w:t>.061</w:t>
            </w:r>
          </w:p>
        </w:tc>
        <w:tc>
          <w:tcPr>
            <w:tcW w:w="586" w:type="pct"/>
            <w:gridSpan w:val="2"/>
            <w:tcBorders>
              <w:top w:val="nil"/>
              <w:left w:val="nil"/>
              <w:bottom w:val="nil"/>
              <w:right w:val="nil"/>
            </w:tcBorders>
          </w:tcPr>
          <w:p w14:paraId="6A8FA15D" w14:textId="77777777" w:rsidR="00A81A90" w:rsidRPr="00B20D20" w:rsidRDefault="00A81A90" w:rsidP="00297841">
            <w:pPr>
              <w:jc w:val="center"/>
              <w:rPr>
                <w:sz w:val="22"/>
                <w:szCs w:val="20"/>
                <w:lang w:val="en-US"/>
              </w:rPr>
            </w:pPr>
            <w:r w:rsidRPr="00B20D20">
              <w:rPr>
                <w:sz w:val="22"/>
                <w:szCs w:val="20"/>
                <w:lang w:val="en-US"/>
              </w:rPr>
              <w:t>9.73</w:t>
            </w:r>
          </w:p>
        </w:tc>
        <w:tc>
          <w:tcPr>
            <w:tcW w:w="456" w:type="pct"/>
            <w:tcBorders>
              <w:top w:val="nil"/>
              <w:left w:val="nil"/>
              <w:bottom w:val="nil"/>
              <w:right w:val="nil"/>
            </w:tcBorders>
          </w:tcPr>
          <w:p w14:paraId="232E572F" w14:textId="77777777" w:rsidR="00A81A90" w:rsidRPr="00B20D20" w:rsidRDefault="00A81A90" w:rsidP="00297841">
            <w:pPr>
              <w:jc w:val="center"/>
              <w:rPr>
                <w:sz w:val="22"/>
                <w:szCs w:val="20"/>
                <w:lang w:val="en-US"/>
              </w:rPr>
            </w:pPr>
            <w:r w:rsidRPr="00B20D20">
              <w:rPr>
                <w:sz w:val="22"/>
                <w:szCs w:val="20"/>
                <w:lang w:val="en-US"/>
              </w:rPr>
              <w:t>0</w:t>
            </w:r>
          </w:p>
        </w:tc>
        <w:tc>
          <w:tcPr>
            <w:tcW w:w="587" w:type="pct"/>
            <w:gridSpan w:val="2"/>
            <w:tcBorders>
              <w:top w:val="nil"/>
              <w:left w:val="nil"/>
              <w:bottom w:val="nil"/>
              <w:right w:val="nil"/>
            </w:tcBorders>
          </w:tcPr>
          <w:p w14:paraId="43D37D37" w14:textId="77777777" w:rsidR="00A81A90" w:rsidRPr="00B20D20" w:rsidRDefault="00A81A90" w:rsidP="00297841">
            <w:pPr>
              <w:jc w:val="center"/>
              <w:rPr>
                <w:sz w:val="22"/>
                <w:szCs w:val="20"/>
                <w:lang w:val="en-US"/>
              </w:rPr>
            </w:pPr>
            <w:r w:rsidRPr="00B20D20">
              <w:rPr>
                <w:sz w:val="22"/>
                <w:szCs w:val="20"/>
                <w:lang w:val="en-US"/>
              </w:rPr>
              <w:t>.475</w:t>
            </w:r>
          </w:p>
        </w:tc>
        <w:tc>
          <w:tcPr>
            <w:tcW w:w="740" w:type="pct"/>
            <w:gridSpan w:val="2"/>
            <w:tcBorders>
              <w:top w:val="nil"/>
              <w:left w:val="nil"/>
              <w:bottom w:val="nil"/>
              <w:right w:val="nil"/>
            </w:tcBorders>
          </w:tcPr>
          <w:p w14:paraId="23778A56" w14:textId="77777777" w:rsidR="00A81A90" w:rsidRPr="00B20D20" w:rsidRDefault="00A81A90" w:rsidP="00297841">
            <w:pPr>
              <w:jc w:val="center"/>
              <w:rPr>
                <w:sz w:val="22"/>
                <w:szCs w:val="20"/>
                <w:lang w:val="en-US"/>
              </w:rPr>
            </w:pPr>
            <w:r w:rsidRPr="00B20D20">
              <w:rPr>
                <w:sz w:val="22"/>
                <w:szCs w:val="20"/>
                <w:lang w:val="en-US"/>
              </w:rPr>
              <w:t>.715</w:t>
            </w:r>
          </w:p>
        </w:tc>
        <w:tc>
          <w:tcPr>
            <w:tcW w:w="488" w:type="pct"/>
            <w:tcBorders>
              <w:top w:val="nil"/>
              <w:left w:val="nil"/>
              <w:bottom w:val="nil"/>
              <w:right w:val="nil"/>
            </w:tcBorders>
          </w:tcPr>
          <w:p w14:paraId="3C02D989" w14:textId="77777777" w:rsidR="00A81A90" w:rsidRPr="00B20D20" w:rsidRDefault="00A81A90" w:rsidP="00297841">
            <w:pPr>
              <w:jc w:val="center"/>
              <w:rPr>
                <w:sz w:val="22"/>
                <w:szCs w:val="20"/>
                <w:lang w:val="en-US"/>
              </w:rPr>
            </w:pPr>
            <w:r w:rsidRPr="00B20D20">
              <w:rPr>
                <w:sz w:val="22"/>
                <w:szCs w:val="20"/>
                <w:lang w:val="en-US"/>
              </w:rPr>
              <w:t>***</w:t>
            </w:r>
          </w:p>
        </w:tc>
      </w:tr>
      <w:tr w:rsidR="00297841" w:rsidRPr="00B20D20" w14:paraId="32BED2C7" w14:textId="77777777" w:rsidTr="00CB2400">
        <w:tc>
          <w:tcPr>
            <w:tcW w:w="919" w:type="pct"/>
            <w:tcBorders>
              <w:top w:val="nil"/>
              <w:left w:val="nil"/>
              <w:bottom w:val="nil"/>
              <w:right w:val="nil"/>
            </w:tcBorders>
          </w:tcPr>
          <w:p w14:paraId="0C189975" w14:textId="77777777" w:rsidR="00A81A90" w:rsidRPr="00297841" w:rsidRDefault="00A81A90" w:rsidP="00B20D20">
            <w:pPr>
              <w:jc w:val="center"/>
              <w:rPr>
                <w:b/>
                <w:bCs/>
                <w:sz w:val="22"/>
                <w:szCs w:val="20"/>
                <w:lang w:val="en-US"/>
              </w:rPr>
            </w:pPr>
            <w:r w:rsidRPr="00297841">
              <w:rPr>
                <w:b/>
                <w:bCs/>
                <w:sz w:val="22"/>
                <w:szCs w:val="20"/>
                <w:lang w:val="en-US"/>
              </w:rPr>
              <w:t>L2.ma</w:t>
            </w:r>
          </w:p>
        </w:tc>
        <w:tc>
          <w:tcPr>
            <w:tcW w:w="593" w:type="pct"/>
            <w:gridSpan w:val="2"/>
            <w:tcBorders>
              <w:top w:val="nil"/>
              <w:left w:val="nil"/>
              <w:bottom w:val="nil"/>
              <w:right w:val="nil"/>
            </w:tcBorders>
          </w:tcPr>
          <w:p w14:paraId="26C3D002" w14:textId="77777777" w:rsidR="00A81A90" w:rsidRPr="00B20D20" w:rsidRDefault="00A81A90" w:rsidP="00297841">
            <w:pPr>
              <w:jc w:val="center"/>
              <w:rPr>
                <w:sz w:val="22"/>
                <w:szCs w:val="20"/>
                <w:lang w:val="en-US"/>
              </w:rPr>
            </w:pPr>
            <w:r w:rsidRPr="00B20D20">
              <w:rPr>
                <w:sz w:val="22"/>
                <w:szCs w:val="20"/>
                <w:lang w:val="en-US"/>
              </w:rPr>
              <w:t>.923</w:t>
            </w:r>
          </w:p>
        </w:tc>
        <w:tc>
          <w:tcPr>
            <w:tcW w:w="632" w:type="pct"/>
            <w:tcBorders>
              <w:top w:val="nil"/>
              <w:left w:val="nil"/>
              <w:bottom w:val="nil"/>
              <w:right w:val="nil"/>
            </w:tcBorders>
          </w:tcPr>
          <w:p w14:paraId="410FA089" w14:textId="77777777" w:rsidR="00A81A90" w:rsidRPr="00B20D20" w:rsidRDefault="00A81A90" w:rsidP="00297841">
            <w:pPr>
              <w:jc w:val="center"/>
              <w:rPr>
                <w:sz w:val="22"/>
                <w:szCs w:val="20"/>
                <w:lang w:val="en-US"/>
              </w:rPr>
            </w:pPr>
            <w:r w:rsidRPr="00B20D20">
              <w:rPr>
                <w:sz w:val="22"/>
                <w:szCs w:val="20"/>
                <w:lang w:val="en-US"/>
              </w:rPr>
              <w:t>.069</w:t>
            </w:r>
          </w:p>
        </w:tc>
        <w:tc>
          <w:tcPr>
            <w:tcW w:w="586" w:type="pct"/>
            <w:gridSpan w:val="2"/>
            <w:tcBorders>
              <w:top w:val="nil"/>
              <w:left w:val="nil"/>
              <w:bottom w:val="nil"/>
              <w:right w:val="nil"/>
            </w:tcBorders>
          </w:tcPr>
          <w:p w14:paraId="0F8E905F" w14:textId="77777777" w:rsidR="00A81A90" w:rsidRPr="00B20D20" w:rsidRDefault="00A81A90" w:rsidP="00297841">
            <w:pPr>
              <w:jc w:val="center"/>
              <w:rPr>
                <w:sz w:val="22"/>
                <w:szCs w:val="20"/>
                <w:lang w:val="en-US"/>
              </w:rPr>
            </w:pPr>
            <w:r w:rsidRPr="00B20D20">
              <w:rPr>
                <w:sz w:val="22"/>
                <w:szCs w:val="20"/>
                <w:lang w:val="en-US"/>
              </w:rPr>
              <w:t>13.30</w:t>
            </w:r>
          </w:p>
        </w:tc>
        <w:tc>
          <w:tcPr>
            <w:tcW w:w="456" w:type="pct"/>
            <w:tcBorders>
              <w:top w:val="nil"/>
              <w:left w:val="nil"/>
              <w:bottom w:val="nil"/>
              <w:right w:val="nil"/>
            </w:tcBorders>
          </w:tcPr>
          <w:p w14:paraId="6B4555DD" w14:textId="77777777" w:rsidR="00A81A90" w:rsidRPr="00B20D20" w:rsidRDefault="00A81A90" w:rsidP="00297841">
            <w:pPr>
              <w:jc w:val="center"/>
              <w:rPr>
                <w:sz w:val="22"/>
                <w:szCs w:val="20"/>
                <w:lang w:val="en-US"/>
              </w:rPr>
            </w:pPr>
            <w:r w:rsidRPr="00B20D20">
              <w:rPr>
                <w:sz w:val="22"/>
                <w:szCs w:val="20"/>
                <w:lang w:val="en-US"/>
              </w:rPr>
              <w:t>0</w:t>
            </w:r>
          </w:p>
        </w:tc>
        <w:tc>
          <w:tcPr>
            <w:tcW w:w="587" w:type="pct"/>
            <w:gridSpan w:val="2"/>
            <w:tcBorders>
              <w:top w:val="nil"/>
              <w:left w:val="nil"/>
              <w:bottom w:val="nil"/>
              <w:right w:val="nil"/>
            </w:tcBorders>
          </w:tcPr>
          <w:p w14:paraId="5DFBF8D1" w14:textId="77777777" w:rsidR="00A81A90" w:rsidRPr="00B20D20" w:rsidRDefault="00A81A90" w:rsidP="00297841">
            <w:pPr>
              <w:jc w:val="center"/>
              <w:rPr>
                <w:sz w:val="22"/>
                <w:szCs w:val="20"/>
                <w:lang w:val="en-US"/>
              </w:rPr>
            </w:pPr>
            <w:r w:rsidRPr="00B20D20">
              <w:rPr>
                <w:sz w:val="22"/>
                <w:szCs w:val="20"/>
                <w:lang w:val="en-US"/>
              </w:rPr>
              <w:t>.787</w:t>
            </w:r>
          </w:p>
        </w:tc>
        <w:tc>
          <w:tcPr>
            <w:tcW w:w="740" w:type="pct"/>
            <w:gridSpan w:val="2"/>
            <w:tcBorders>
              <w:top w:val="nil"/>
              <w:left w:val="nil"/>
              <w:bottom w:val="nil"/>
              <w:right w:val="nil"/>
            </w:tcBorders>
          </w:tcPr>
          <w:p w14:paraId="26855BBE" w14:textId="77777777" w:rsidR="00A81A90" w:rsidRPr="00B20D20" w:rsidRDefault="00A81A90" w:rsidP="00297841">
            <w:pPr>
              <w:jc w:val="center"/>
              <w:rPr>
                <w:sz w:val="22"/>
                <w:szCs w:val="20"/>
                <w:lang w:val="en-US"/>
              </w:rPr>
            </w:pPr>
            <w:r w:rsidRPr="00B20D20">
              <w:rPr>
                <w:sz w:val="22"/>
                <w:szCs w:val="20"/>
                <w:lang w:val="en-US"/>
              </w:rPr>
              <w:t>1.059</w:t>
            </w:r>
          </w:p>
        </w:tc>
        <w:tc>
          <w:tcPr>
            <w:tcW w:w="488" w:type="pct"/>
            <w:tcBorders>
              <w:top w:val="nil"/>
              <w:left w:val="nil"/>
              <w:bottom w:val="nil"/>
              <w:right w:val="nil"/>
            </w:tcBorders>
          </w:tcPr>
          <w:p w14:paraId="651D5E7D" w14:textId="77777777" w:rsidR="00A81A90" w:rsidRPr="00B20D20" w:rsidRDefault="00A81A90" w:rsidP="00297841">
            <w:pPr>
              <w:jc w:val="center"/>
              <w:rPr>
                <w:sz w:val="22"/>
                <w:szCs w:val="20"/>
                <w:lang w:val="en-US"/>
              </w:rPr>
            </w:pPr>
            <w:r w:rsidRPr="00B20D20">
              <w:rPr>
                <w:sz w:val="22"/>
                <w:szCs w:val="20"/>
                <w:lang w:val="en-US"/>
              </w:rPr>
              <w:t>***</w:t>
            </w:r>
          </w:p>
        </w:tc>
      </w:tr>
      <w:tr w:rsidR="00297841" w:rsidRPr="00B20D20" w14:paraId="6BC69034" w14:textId="77777777" w:rsidTr="00CB2400">
        <w:tc>
          <w:tcPr>
            <w:tcW w:w="919" w:type="pct"/>
            <w:tcBorders>
              <w:top w:val="nil"/>
              <w:left w:val="nil"/>
              <w:bottom w:val="nil"/>
              <w:right w:val="nil"/>
            </w:tcBorders>
          </w:tcPr>
          <w:p w14:paraId="5DA8EF50" w14:textId="77777777" w:rsidR="00A81A90" w:rsidRPr="00297841" w:rsidRDefault="00A81A90" w:rsidP="00B20D20">
            <w:pPr>
              <w:jc w:val="center"/>
              <w:rPr>
                <w:b/>
                <w:bCs/>
                <w:sz w:val="22"/>
                <w:szCs w:val="20"/>
                <w:lang w:val="en-US"/>
              </w:rPr>
            </w:pPr>
            <w:r w:rsidRPr="00297841">
              <w:rPr>
                <w:b/>
                <w:bCs/>
                <w:sz w:val="22"/>
                <w:szCs w:val="20"/>
                <w:lang w:val="en-US"/>
              </w:rPr>
              <w:t>Constant</w:t>
            </w:r>
          </w:p>
        </w:tc>
        <w:tc>
          <w:tcPr>
            <w:tcW w:w="593" w:type="pct"/>
            <w:gridSpan w:val="2"/>
            <w:tcBorders>
              <w:top w:val="nil"/>
              <w:left w:val="nil"/>
              <w:bottom w:val="nil"/>
              <w:right w:val="nil"/>
            </w:tcBorders>
          </w:tcPr>
          <w:p w14:paraId="34F1B3CB" w14:textId="77777777" w:rsidR="00A81A90" w:rsidRPr="00B20D20" w:rsidRDefault="00A81A90" w:rsidP="00297841">
            <w:pPr>
              <w:jc w:val="center"/>
              <w:rPr>
                <w:sz w:val="22"/>
                <w:szCs w:val="20"/>
                <w:lang w:val="en-US"/>
              </w:rPr>
            </w:pPr>
            <w:r w:rsidRPr="00B20D20">
              <w:rPr>
                <w:sz w:val="22"/>
                <w:szCs w:val="20"/>
                <w:lang w:val="en-US"/>
              </w:rPr>
              <w:t>1.481</w:t>
            </w:r>
          </w:p>
        </w:tc>
        <w:tc>
          <w:tcPr>
            <w:tcW w:w="632" w:type="pct"/>
            <w:tcBorders>
              <w:top w:val="nil"/>
              <w:left w:val="nil"/>
              <w:bottom w:val="nil"/>
              <w:right w:val="nil"/>
            </w:tcBorders>
          </w:tcPr>
          <w:p w14:paraId="378B4385" w14:textId="77777777" w:rsidR="00A81A90" w:rsidRPr="00B20D20" w:rsidRDefault="00A81A90" w:rsidP="00297841">
            <w:pPr>
              <w:jc w:val="center"/>
              <w:rPr>
                <w:sz w:val="22"/>
                <w:szCs w:val="20"/>
                <w:lang w:val="en-US"/>
              </w:rPr>
            </w:pPr>
            <w:r w:rsidRPr="00B20D20">
              <w:rPr>
                <w:sz w:val="22"/>
                <w:szCs w:val="20"/>
                <w:lang w:val="en-US"/>
              </w:rPr>
              <w:t>.09</w:t>
            </w:r>
          </w:p>
        </w:tc>
        <w:tc>
          <w:tcPr>
            <w:tcW w:w="586" w:type="pct"/>
            <w:gridSpan w:val="2"/>
            <w:tcBorders>
              <w:top w:val="nil"/>
              <w:left w:val="nil"/>
              <w:bottom w:val="nil"/>
              <w:right w:val="nil"/>
            </w:tcBorders>
          </w:tcPr>
          <w:p w14:paraId="74AA17CF" w14:textId="77777777" w:rsidR="00A81A90" w:rsidRPr="00B20D20" w:rsidRDefault="00A81A90" w:rsidP="00297841">
            <w:pPr>
              <w:jc w:val="center"/>
              <w:rPr>
                <w:sz w:val="22"/>
                <w:szCs w:val="20"/>
                <w:lang w:val="en-US"/>
              </w:rPr>
            </w:pPr>
            <w:r w:rsidRPr="00B20D20">
              <w:rPr>
                <w:sz w:val="22"/>
                <w:szCs w:val="20"/>
                <w:lang w:val="en-US"/>
              </w:rPr>
              <w:t>16.38</w:t>
            </w:r>
          </w:p>
        </w:tc>
        <w:tc>
          <w:tcPr>
            <w:tcW w:w="456" w:type="pct"/>
            <w:tcBorders>
              <w:top w:val="nil"/>
              <w:left w:val="nil"/>
              <w:bottom w:val="nil"/>
              <w:right w:val="nil"/>
            </w:tcBorders>
          </w:tcPr>
          <w:p w14:paraId="3C605FE1" w14:textId="77777777" w:rsidR="00A81A90" w:rsidRPr="00B20D20" w:rsidRDefault="00A81A90" w:rsidP="00297841">
            <w:pPr>
              <w:jc w:val="center"/>
              <w:rPr>
                <w:sz w:val="22"/>
                <w:szCs w:val="20"/>
                <w:lang w:val="en-US"/>
              </w:rPr>
            </w:pPr>
            <w:r w:rsidRPr="00B20D20">
              <w:rPr>
                <w:sz w:val="22"/>
                <w:szCs w:val="20"/>
                <w:lang w:val="en-US"/>
              </w:rPr>
              <w:t>0</w:t>
            </w:r>
          </w:p>
        </w:tc>
        <w:tc>
          <w:tcPr>
            <w:tcW w:w="587" w:type="pct"/>
            <w:gridSpan w:val="2"/>
            <w:tcBorders>
              <w:top w:val="nil"/>
              <w:left w:val="nil"/>
              <w:bottom w:val="nil"/>
              <w:right w:val="nil"/>
            </w:tcBorders>
          </w:tcPr>
          <w:p w14:paraId="584B01FE" w14:textId="77777777" w:rsidR="00A81A90" w:rsidRPr="00B20D20" w:rsidRDefault="00A81A90" w:rsidP="00297841">
            <w:pPr>
              <w:jc w:val="center"/>
              <w:rPr>
                <w:sz w:val="22"/>
                <w:szCs w:val="20"/>
                <w:lang w:val="en-US"/>
              </w:rPr>
            </w:pPr>
            <w:r w:rsidRPr="00B20D20">
              <w:rPr>
                <w:sz w:val="22"/>
                <w:szCs w:val="20"/>
                <w:lang w:val="en-US"/>
              </w:rPr>
              <w:t>1.304</w:t>
            </w:r>
          </w:p>
        </w:tc>
        <w:tc>
          <w:tcPr>
            <w:tcW w:w="740" w:type="pct"/>
            <w:gridSpan w:val="2"/>
            <w:tcBorders>
              <w:top w:val="nil"/>
              <w:left w:val="nil"/>
              <w:bottom w:val="nil"/>
              <w:right w:val="nil"/>
            </w:tcBorders>
          </w:tcPr>
          <w:p w14:paraId="50986382" w14:textId="77777777" w:rsidR="00A81A90" w:rsidRPr="00B20D20" w:rsidRDefault="00A81A90" w:rsidP="00297841">
            <w:pPr>
              <w:jc w:val="center"/>
              <w:rPr>
                <w:sz w:val="22"/>
                <w:szCs w:val="20"/>
                <w:lang w:val="en-US"/>
              </w:rPr>
            </w:pPr>
            <w:r w:rsidRPr="00B20D20">
              <w:rPr>
                <w:sz w:val="22"/>
                <w:szCs w:val="20"/>
                <w:lang w:val="en-US"/>
              </w:rPr>
              <w:t>1.658</w:t>
            </w:r>
          </w:p>
        </w:tc>
        <w:tc>
          <w:tcPr>
            <w:tcW w:w="488" w:type="pct"/>
            <w:tcBorders>
              <w:top w:val="nil"/>
              <w:left w:val="nil"/>
              <w:bottom w:val="nil"/>
              <w:right w:val="nil"/>
            </w:tcBorders>
          </w:tcPr>
          <w:p w14:paraId="012E6432" w14:textId="77777777" w:rsidR="00A81A90" w:rsidRPr="00B20D20" w:rsidRDefault="00A81A90" w:rsidP="00297841">
            <w:pPr>
              <w:jc w:val="center"/>
              <w:rPr>
                <w:sz w:val="22"/>
                <w:szCs w:val="20"/>
                <w:lang w:val="en-US"/>
              </w:rPr>
            </w:pPr>
            <w:r w:rsidRPr="00B20D20">
              <w:rPr>
                <w:sz w:val="22"/>
                <w:szCs w:val="20"/>
                <w:lang w:val="en-US"/>
              </w:rPr>
              <w:t>***</w:t>
            </w:r>
          </w:p>
        </w:tc>
      </w:tr>
      <w:tr w:rsidR="00A81A90" w:rsidRPr="00B20D20" w14:paraId="2B81ECD7" w14:textId="77777777" w:rsidTr="00B20D20">
        <w:tc>
          <w:tcPr>
            <w:tcW w:w="5000" w:type="pct"/>
            <w:gridSpan w:val="12"/>
            <w:tcBorders>
              <w:top w:val="nil"/>
              <w:left w:val="nil"/>
              <w:bottom w:val="single" w:sz="4" w:space="0" w:color="auto"/>
              <w:right w:val="nil"/>
            </w:tcBorders>
          </w:tcPr>
          <w:p w14:paraId="3B970404" w14:textId="77777777" w:rsidR="00A81A90" w:rsidRPr="00B20D20" w:rsidRDefault="00A81A90" w:rsidP="00B20D20">
            <w:pPr>
              <w:jc w:val="center"/>
              <w:rPr>
                <w:sz w:val="22"/>
                <w:szCs w:val="20"/>
                <w:lang w:val="en-US"/>
              </w:rPr>
            </w:pPr>
          </w:p>
        </w:tc>
      </w:tr>
      <w:tr w:rsidR="00297841" w:rsidRPr="00B20D20" w14:paraId="38038084" w14:textId="77777777" w:rsidTr="00CB2400">
        <w:trPr>
          <w:gridAfter w:val="2"/>
          <w:wAfter w:w="517" w:type="pct"/>
        </w:trPr>
        <w:tc>
          <w:tcPr>
            <w:tcW w:w="1269" w:type="pct"/>
            <w:gridSpan w:val="2"/>
            <w:tcBorders>
              <w:top w:val="nil"/>
              <w:left w:val="nil"/>
              <w:bottom w:val="nil"/>
              <w:right w:val="nil"/>
            </w:tcBorders>
          </w:tcPr>
          <w:p w14:paraId="3267B059" w14:textId="77777777" w:rsidR="00A81A90" w:rsidRPr="00B20D20" w:rsidRDefault="00A81A90" w:rsidP="00B20D20">
            <w:pPr>
              <w:jc w:val="center"/>
              <w:rPr>
                <w:sz w:val="22"/>
                <w:szCs w:val="20"/>
                <w:lang w:val="en-US"/>
              </w:rPr>
            </w:pPr>
            <w:r w:rsidRPr="00B20D20">
              <w:rPr>
                <w:sz w:val="22"/>
                <w:szCs w:val="20"/>
                <w:lang w:val="en-US"/>
              </w:rPr>
              <w:t>Mean dependent var</w:t>
            </w:r>
          </w:p>
        </w:tc>
        <w:tc>
          <w:tcPr>
            <w:tcW w:w="911" w:type="pct"/>
            <w:gridSpan w:val="3"/>
            <w:tcBorders>
              <w:top w:val="nil"/>
              <w:left w:val="nil"/>
              <w:bottom w:val="nil"/>
              <w:right w:val="nil"/>
            </w:tcBorders>
          </w:tcPr>
          <w:p w14:paraId="4EE521AB" w14:textId="77777777" w:rsidR="00A81A90" w:rsidRPr="00B20D20" w:rsidRDefault="00A81A90" w:rsidP="00B20D20">
            <w:pPr>
              <w:jc w:val="center"/>
              <w:rPr>
                <w:sz w:val="22"/>
                <w:szCs w:val="20"/>
                <w:lang w:val="en-US"/>
              </w:rPr>
            </w:pPr>
            <w:r w:rsidRPr="00B20D20">
              <w:rPr>
                <w:sz w:val="22"/>
                <w:szCs w:val="20"/>
                <w:lang w:val="en-US"/>
              </w:rPr>
              <w:t>0.129</w:t>
            </w:r>
          </w:p>
        </w:tc>
        <w:tc>
          <w:tcPr>
            <w:tcW w:w="1299" w:type="pct"/>
            <w:gridSpan w:val="3"/>
            <w:tcBorders>
              <w:top w:val="nil"/>
              <w:left w:val="nil"/>
              <w:bottom w:val="nil"/>
              <w:right w:val="nil"/>
            </w:tcBorders>
          </w:tcPr>
          <w:p w14:paraId="47498712" w14:textId="7351086C" w:rsidR="00A81A90" w:rsidRPr="00B20D20" w:rsidRDefault="00A81A90" w:rsidP="00B20D20">
            <w:pPr>
              <w:jc w:val="center"/>
              <w:rPr>
                <w:sz w:val="22"/>
                <w:szCs w:val="20"/>
                <w:lang w:val="en-US"/>
              </w:rPr>
            </w:pPr>
            <w:r w:rsidRPr="00B20D20">
              <w:rPr>
                <w:sz w:val="22"/>
                <w:szCs w:val="20"/>
                <w:lang w:val="en-US"/>
              </w:rPr>
              <w:t>SD dependent var</w:t>
            </w:r>
          </w:p>
        </w:tc>
        <w:tc>
          <w:tcPr>
            <w:tcW w:w="1003" w:type="pct"/>
            <w:gridSpan w:val="2"/>
            <w:tcBorders>
              <w:top w:val="nil"/>
              <w:left w:val="nil"/>
              <w:bottom w:val="nil"/>
              <w:right w:val="nil"/>
            </w:tcBorders>
          </w:tcPr>
          <w:p w14:paraId="6ACF913B" w14:textId="77777777" w:rsidR="00A81A90" w:rsidRPr="00B20D20" w:rsidRDefault="00A81A90" w:rsidP="00B20D20">
            <w:pPr>
              <w:jc w:val="center"/>
              <w:rPr>
                <w:sz w:val="22"/>
                <w:szCs w:val="20"/>
                <w:lang w:val="en-US"/>
              </w:rPr>
            </w:pPr>
            <w:r w:rsidRPr="00B20D20">
              <w:rPr>
                <w:sz w:val="22"/>
                <w:szCs w:val="20"/>
                <w:lang w:val="en-US"/>
              </w:rPr>
              <w:t>1.617</w:t>
            </w:r>
          </w:p>
        </w:tc>
      </w:tr>
      <w:tr w:rsidR="00297841" w:rsidRPr="00B20D20" w14:paraId="2663E7FC" w14:textId="77777777" w:rsidTr="00CB2400">
        <w:trPr>
          <w:gridAfter w:val="2"/>
          <w:wAfter w:w="517" w:type="pct"/>
        </w:trPr>
        <w:tc>
          <w:tcPr>
            <w:tcW w:w="1269" w:type="pct"/>
            <w:gridSpan w:val="2"/>
            <w:tcBorders>
              <w:top w:val="nil"/>
              <w:left w:val="nil"/>
              <w:bottom w:val="nil"/>
              <w:right w:val="nil"/>
            </w:tcBorders>
          </w:tcPr>
          <w:p w14:paraId="796619FF" w14:textId="77777777" w:rsidR="00A81A90" w:rsidRPr="00B20D20" w:rsidRDefault="00A81A90" w:rsidP="00B20D20">
            <w:pPr>
              <w:rPr>
                <w:sz w:val="22"/>
                <w:szCs w:val="20"/>
                <w:lang w:val="en-US"/>
              </w:rPr>
            </w:pPr>
            <w:r w:rsidRPr="00B20D20">
              <w:rPr>
                <w:sz w:val="22"/>
                <w:szCs w:val="20"/>
                <w:lang w:val="en-US"/>
              </w:rPr>
              <w:t xml:space="preserve">Number of </w:t>
            </w:r>
            <w:proofErr w:type="spellStart"/>
            <w:r w:rsidRPr="00B20D20">
              <w:rPr>
                <w:sz w:val="22"/>
                <w:szCs w:val="20"/>
                <w:lang w:val="en-US"/>
              </w:rPr>
              <w:t>obs</w:t>
            </w:r>
            <w:proofErr w:type="spellEnd"/>
            <w:r w:rsidRPr="00B20D20">
              <w:rPr>
                <w:sz w:val="22"/>
                <w:szCs w:val="20"/>
                <w:lang w:val="en-US"/>
              </w:rPr>
              <w:t xml:space="preserve">  </w:t>
            </w:r>
          </w:p>
        </w:tc>
        <w:tc>
          <w:tcPr>
            <w:tcW w:w="911" w:type="pct"/>
            <w:gridSpan w:val="3"/>
            <w:tcBorders>
              <w:top w:val="nil"/>
              <w:left w:val="nil"/>
              <w:bottom w:val="nil"/>
              <w:right w:val="nil"/>
            </w:tcBorders>
          </w:tcPr>
          <w:p w14:paraId="5D0047DE" w14:textId="77777777" w:rsidR="00A81A90" w:rsidRPr="00B20D20" w:rsidRDefault="00A81A90" w:rsidP="00B20D20">
            <w:pPr>
              <w:rPr>
                <w:sz w:val="22"/>
                <w:szCs w:val="20"/>
                <w:lang w:val="en-US"/>
              </w:rPr>
            </w:pPr>
            <w:r w:rsidRPr="00B20D20">
              <w:rPr>
                <w:sz w:val="22"/>
                <w:szCs w:val="20"/>
                <w:lang w:val="en-US"/>
              </w:rPr>
              <w:t>133.000</w:t>
            </w:r>
          </w:p>
        </w:tc>
        <w:tc>
          <w:tcPr>
            <w:tcW w:w="1299" w:type="pct"/>
            <w:gridSpan w:val="3"/>
            <w:tcBorders>
              <w:top w:val="nil"/>
              <w:left w:val="nil"/>
              <w:bottom w:val="nil"/>
              <w:right w:val="nil"/>
            </w:tcBorders>
          </w:tcPr>
          <w:p w14:paraId="6ED1EFC7" w14:textId="77777777" w:rsidR="00A81A90" w:rsidRPr="00B20D20" w:rsidRDefault="00A81A90" w:rsidP="00B20D20">
            <w:pPr>
              <w:rPr>
                <w:sz w:val="22"/>
                <w:szCs w:val="20"/>
                <w:lang w:val="en-US"/>
              </w:rPr>
            </w:pPr>
            <w:r w:rsidRPr="00B20D20">
              <w:rPr>
                <w:sz w:val="22"/>
                <w:szCs w:val="20"/>
                <w:lang w:val="en-US"/>
              </w:rPr>
              <w:t xml:space="preserve">Chi-square  </w:t>
            </w:r>
          </w:p>
        </w:tc>
        <w:tc>
          <w:tcPr>
            <w:tcW w:w="1003" w:type="pct"/>
            <w:gridSpan w:val="2"/>
            <w:tcBorders>
              <w:top w:val="nil"/>
              <w:left w:val="nil"/>
              <w:bottom w:val="nil"/>
              <w:right w:val="nil"/>
            </w:tcBorders>
          </w:tcPr>
          <w:p w14:paraId="06E8A739" w14:textId="77777777" w:rsidR="00A81A90" w:rsidRPr="00B20D20" w:rsidRDefault="00A81A90" w:rsidP="00B20D20">
            <w:pPr>
              <w:rPr>
                <w:sz w:val="22"/>
                <w:szCs w:val="20"/>
                <w:lang w:val="en-US"/>
              </w:rPr>
            </w:pPr>
            <w:r w:rsidRPr="00B20D20">
              <w:rPr>
                <w:sz w:val="22"/>
                <w:szCs w:val="20"/>
                <w:lang w:val="en-US"/>
              </w:rPr>
              <w:t>1860.198</w:t>
            </w:r>
          </w:p>
        </w:tc>
      </w:tr>
      <w:tr w:rsidR="00297841" w:rsidRPr="00B20D20" w14:paraId="2DA72B04" w14:textId="77777777" w:rsidTr="00CB2400">
        <w:trPr>
          <w:gridAfter w:val="2"/>
          <w:wAfter w:w="517" w:type="pct"/>
        </w:trPr>
        <w:tc>
          <w:tcPr>
            <w:tcW w:w="1269" w:type="pct"/>
            <w:gridSpan w:val="2"/>
            <w:tcBorders>
              <w:top w:val="nil"/>
              <w:left w:val="nil"/>
              <w:bottom w:val="nil"/>
              <w:right w:val="nil"/>
            </w:tcBorders>
          </w:tcPr>
          <w:p w14:paraId="61C783D0" w14:textId="77777777" w:rsidR="00A81A90" w:rsidRPr="00B20D20" w:rsidRDefault="00A81A90" w:rsidP="00B20D20">
            <w:pPr>
              <w:rPr>
                <w:sz w:val="22"/>
                <w:szCs w:val="20"/>
                <w:lang w:val="en-US"/>
              </w:rPr>
            </w:pPr>
            <w:r w:rsidRPr="00B20D20">
              <w:rPr>
                <w:sz w:val="22"/>
                <w:szCs w:val="20"/>
                <w:lang w:val="en-US"/>
              </w:rPr>
              <w:t xml:space="preserve">Prob &gt; chi2 </w:t>
            </w:r>
          </w:p>
        </w:tc>
        <w:tc>
          <w:tcPr>
            <w:tcW w:w="911" w:type="pct"/>
            <w:gridSpan w:val="3"/>
            <w:tcBorders>
              <w:top w:val="nil"/>
              <w:left w:val="nil"/>
              <w:bottom w:val="nil"/>
              <w:right w:val="nil"/>
            </w:tcBorders>
          </w:tcPr>
          <w:p w14:paraId="3E18B787" w14:textId="77777777" w:rsidR="00A81A90" w:rsidRPr="00B20D20" w:rsidRDefault="00A81A90" w:rsidP="00B20D20">
            <w:pPr>
              <w:rPr>
                <w:sz w:val="22"/>
                <w:szCs w:val="20"/>
                <w:lang w:val="en-US"/>
              </w:rPr>
            </w:pPr>
            <w:r w:rsidRPr="00B20D20">
              <w:rPr>
                <w:sz w:val="22"/>
                <w:szCs w:val="20"/>
                <w:lang w:val="en-US"/>
              </w:rPr>
              <w:t>.</w:t>
            </w:r>
          </w:p>
        </w:tc>
        <w:tc>
          <w:tcPr>
            <w:tcW w:w="1299" w:type="pct"/>
            <w:gridSpan w:val="3"/>
            <w:tcBorders>
              <w:top w:val="nil"/>
              <w:left w:val="nil"/>
              <w:bottom w:val="nil"/>
              <w:right w:val="nil"/>
            </w:tcBorders>
          </w:tcPr>
          <w:p w14:paraId="55457E46" w14:textId="77777777" w:rsidR="00A81A90" w:rsidRPr="00B20D20" w:rsidRDefault="00A81A90" w:rsidP="00B20D20">
            <w:pPr>
              <w:rPr>
                <w:sz w:val="22"/>
                <w:szCs w:val="20"/>
                <w:lang w:val="en-US"/>
              </w:rPr>
            </w:pPr>
            <w:r w:rsidRPr="00B20D20">
              <w:rPr>
                <w:sz w:val="22"/>
                <w:szCs w:val="20"/>
                <w:lang w:val="en-US"/>
              </w:rPr>
              <w:t>Akaike crit. (AIC)</w:t>
            </w:r>
          </w:p>
        </w:tc>
        <w:tc>
          <w:tcPr>
            <w:tcW w:w="1003" w:type="pct"/>
            <w:gridSpan w:val="2"/>
            <w:tcBorders>
              <w:top w:val="nil"/>
              <w:left w:val="nil"/>
              <w:bottom w:val="nil"/>
              <w:right w:val="nil"/>
            </w:tcBorders>
          </w:tcPr>
          <w:p w14:paraId="660A212A" w14:textId="77777777" w:rsidR="00A81A90" w:rsidRPr="00B20D20" w:rsidRDefault="00A81A90" w:rsidP="00B20D20">
            <w:pPr>
              <w:rPr>
                <w:sz w:val="22"/>
                <w:szCs w:val="20"/>
                <w:lang w:val="en-US"/>
              </w:rPr>
            </w:pPr>
            <w:r w:rsidRPr="00B20D20">
              <w:rPr>
                <w:sz w:val="22"/>
                <w:szCs w:val="20"/>
                <w:lang w:val="en-US"/>
              </w:rPr>
              <w:t>495.969</w:t>
            </w:r>
          </w:p>
        </w:tc>
      </w:tr>
      <w:tr w:rsidR="00A81A90" w:rsidRPr="00B20D20" w14:paraId="429D007E" w14:textId="77777777" w:rsidTr="00B20D20">
        <w:tc>
          <w:tcPr>
            <w:tcW w:w="5000" w:type="pct"/>
            <w:gridSpan w:val="12"/>
            <w:tcBorders>
              <w:top w:val="single" w:sz="6" w:space="0" w:color="auto"/>
              <w:left w:val="nil"/>
              <w:bottom w:val="nil"/>
              <w:right w:val="nil"/>
            </w:tcBorders>
          </w:tcPr>
          <w:p w14:paraId="0129FB5E" w14:textId="77777777" w:rsidR="00A81A90" w:rsidRPr="00B20D20" w:rsidRDefault="00A81A90" w:rsidP="00B20D20">
            <w:pPr>
              <w:rPr>
                <w:sz w:val="22"/>
                <w:szCs w:val="20"/>
                <w:lang w:val="en-US"/>
              </w:rPr>
            </w:pPr>
            <w:r w:rsidRPr="00B20D20">
              <w:rPr>
                <w:i/>
                <w:iCs/>
                <w:sz w:val="22"/>
                <w:szCs w:val="20"/>
                <w:lang w:val="en-US"/>
              </w:rPr>
              <w:t>*** p&lt;.01, ** p&lt;.05, * p&lt;.1</w:t>
            </w:r>
          </w:p>
        </w:tc>
      </w:tr>
      <w:tr w:rsidR="00A81A90" w:rsidRPr="00B20D20" w14:paraId="60E35C7B" w14:textId="77777777" w:rsidTr="00B20D20">
        <w:tc>
          <w:tcPr>
            <w:tcW w:w="5000" w:type="pct"/>
            <w:gridSpan w:val="12"/>
            <w:tcBorders>
              <w:top w:val="nil"/>
              <w:left w:val="nil"/>
              <w:bottom w:val="nil"/>
              <w:right w:val="nil"/>
            </w:tcBorders>
          </w:tcPr>
          <w:p w14:paraId="1C28B639" w14:textId="77777777" w:rsidR="00A81A90" w:rsidRPr="00B20D20" w:rsidRDefault="00A81A90" w:rsidP="00CB2400">
            <w:pPr>
              <w:keepNext/>
              <w:rPr>
                <w:sz w:val="22"/>
                <w:szCs w:val="20"/>
                <w:lang w:val="en-US"/>
              </w:rPr>
            </w:pPr>
          </w:p>
        </w:tc>
      </w:tr>
    </w:tbl>
    <w:p w14:paraId="0D5FC83B" w14:textId="77777777" w:rsidR="00A81A90" w:rsidRPr="00A81A90" w:rsidRDefault="00A81A90" w:rsidP="00CB2400">
      <w:r w:rsidRPr="00A81A90">
        <w:t>Una condición necesaria es que los residuos del modelo estimado sean ruido blanco, por lo que se procede hacer el Test-Q:</w:t>
      </w:r>
    </w:p>
    <w:p w14:paraId="2E914857" w14:textId="77777777" w:rsidR="00A81A90" w:rsidRPr="00A81A90" w:rsidRDefault="00A81A90" w:rsidP="00A81A90">
      <w:pPr>
        <w:widowControl w:val="0"/>
        <w:autoSpaceDE w:val="0"/>
        <w:autoSpaceDN w:val="0"/>
        <w:adjustRightInd w:val="0"/>
        <w:spacing w:line="240" w:lineRule="auto"/>
        <w:rPr>
          <w:rFonts w:ascii="Garamond" w:hAnsi="Garamond"/>
          <w:sz w:val="20"/>
          <w:szCs w:val="20"/>
          <w:lang w:val="es-ES"/>
        </w:rPr>
      </w:pPr>
    </w:p>
    <w:tbl>
      <w:tblPr>
        <w:tblW w:w="0" w:type="auto"/>
        <w:jc w:val="center"/>
        <w:tblLayout w:type="fixed"/>
        <w:tblLook w:val="0000" w:firstRow="0" w:lastRow="0" w:firstColumn="0" w:lastColumn="0" w:noHBand="0" w:noVBand="0"/>
      </w:tblPr>
      <w:tblGrid>
        <w:gridCol w:w="4961"/>
      </w:tblGrid>
      <w:tr w:rsidR="00A81A90" w:rsidRPr="00A81A90" w14:paraId="53ECD78B" w14:textId="77777777" w:rsidTr="00CB2400">
        <w:trPr>
          <w:trHeight w:val="771"/>
          <w:jc w:val="center"/>
        </w:trPr>
        <w:tc>
          <w:tcPr>
            <w:tcW w:w="4961" w:type="dxa"/>
            <w:tcBorders>
              <w:top w:val="nil"/>
              <w:left w:val="nil"/>
              <w:bottom w:val="nil"/>
              <w:right w:val="nil"/>
            </w:tcBorders>
          </w:tcPr>
          <w:p w14:paraId="16910155" w14:textId="77777777" w:rsidR="00A81A90" w:rsidRPr="00A81A90" w:rsidRDefault="00A81A90" w:rsidP="00CB2400">
            <w:pPr>
              <w:jc w:val="left"/>
              <w:rPr>
                <w:lang w:val="es-ES"/>
              </w:rPr>
            </w:pPr>
            <w:r w:rsidRPr="00A81A90">
              <w:rPr>
                <w:lang w:val="es-ES"/>
              </w:rPr>
              <w:t>Test de Portmanteau para ruido blanco</w:t>
            </w:r>
            <w:r w:rsidRPr="00A81A90">
              <w:rPr>
                <w:lang w:val="es-ES"/>
              </w:rPr>
              <w:br/>
              <w:t>Portmanteau (Q) statistic =    20.8438</w:t>
            </w:r>
          </w:p>
        </w:tc>
      </w:tr>
      <w:tr w:rsidR="00A81A90" w:rsidRPr="00A81A90" w14:paraId="21AB3975" w14:textId="77777777" w:rsidTr="00CB2400">
        <w:trPr>
          <w:trHeight w:val="196"/>
          <w:jc w:val="center"/>
        </w:trPr>
        <w:tc>
          <w:tcPr>
            <w:tcW w:w="4961" w:type="dxa"/>
            <w:tcBorders>
              <w:top w:val="nil"/>
              <w:left w:val="nil"/>
              <w:bottom w:val="nil"/>
              <w:right w:val="nil"/>
            </w:tcBorders>
          </w:tcPr>
          <w:p w14:paraId="4015DC24" w14:textId="77777777" w:rsidR="00A81A90" w:rsidRPr="00A81A90" w:rsidRDefault="00A81A90" w:rsidP="00CB2400">
            <w:pPr>
              <w:rPr>
                <w:lang w:val="en-US"/>
              </w:rPr>
            </w:pPr>
            <w:r w:rsidRPr="00A81A90">
              <w:rPr>
                <w:lang w:val="en-US"/>
              </w:rPr>
              <w:t>Prob&gt;Chi2(40)           =     0.9946</w:t>
            </w:r>
          </w:p>
        </w:tc>
      </w:tr>
    </w:tbl>
    <w:p w14:paraId="40C7F1F4" w14:textId="77777777" w:rsidR="00A81A90" w:rsidRPr="00A81A90" w:rsidRDefault="00A81A90" w:rsidP="00A81A90"/>
    <w:p w14:paraId="5199FD2C" w14:textId="77777777" w:rsidR="00A81A90" w:rsidRPr="00A81A90" w:rsidRDefault="00A81A90" w:rsidP="00CB2400">
      <w:r w:rsidRPr="00A81A90">
        <w:t>En este caso se acepta la hipótesis nula de ruido blanco, es decir, el modelo usado cumple con la metodología establecida en la academia.</w:t>
      </w:r>
    </w:p>
    <w:p w14:paraId="1B927187" w14:textId="42E6A972" w:rsidR="00A81A90" w:rsidRDefault="00A81A90" w:rsidP="00A81A90">
      <w:r w:rsidRPr="00A81A90">
        <w:t>Otra manera de confirma de que los errores son ruido blanco, es mediante un periodograma. En este caso, los errores no atraviesan las bandas laterales por lo que el modelo si tiene ruido blanco.</w:t>
      </w:r>
    </w:p>
    <w:p w14:paraId="25FF6065" w14:textId="77777777" w:rsidR="00CB2400" w:rsidRPr="00A81A90" w:rsidRDefault="00CB2400" w:rsidP="00A81A90"/>
    <w:p w14:paraId="23D3EB3B" w14:textId="77777777" w:rsidR="00CB2400" w:rsidRDefault="00A81A90" w:rsidP="00CB2400">
      <w:pPr>
        <w:keepNext/>
        <w:jc w:val="center"/>
      </w:pPr>
      <w:r w:rsidRPr="00A81A90">
        <w:rPr>
          <w:noProof/>
        </w:rPr>
        <w:lastRenderedPageBreak/>
        <w:drawing>
          <wp:inline distT="0" distB="0" distL="0" distR="0" wp14:anchorId="4EA783AA" wp14:editId="6BFD91E1">
            <wp:extent cx="4295775" cy="31242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8656" cy="3126295"/>
                    </a:xfrm>
                    <a:prstGeom prst="rect">
                      <a:avLst/>
                    </a:prstGeom>
                    <a:noFill/>
                    <a:ln>
                      <a:noFill/>
                    </a:ln>
                  </pic:spPr>
                </pic:pic>
              </a:graphicData>
            </a:graphic>
          </wp:inline>
        </w:drawing>
      </w:r>
    </w:p>
    <w:p w14:paraId="5C1A1B23" w14:textId="6E52CE09" w:rsidR="00A81A90" w:rsidRPr="00A81A90" w:rsidRDefault="00CB2400" w:rsidP="00CB2400">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t>: Periodograma de los errores del modelo ARIMA</w:t>
      </w:r>
    </w:p>
    <w:p w14:paraId="708FF869" w14:textId="77777777" w:rsidR="00A81A90" w:rsidRPr="00A81A90" w:rsidRDefault="00A81A90" w:rsidP="00A81A90"/>
    <w:p w14:paraId="5E39C728" w14:textId="77777777" w:rsidR="00A81A90" w:rsidRPr="00A81A90" w:rsidRDefault="00A81A90" w:rsidP="00A81A90">
      <w:pPr>
        <w:rPr>
          <w:b/>
          <w:bCs/>
          <w:i/>
          <w:iCs/>
        </w:rPr>
      </w:pPr>
      <w:r w:rsidRPr="00A81A90">
        <w:rPr>
          <w:b/>
          <w:bCs/>
          <w:i/>
          <w:iCs/>
        </w:rPr>
        <w:t>Pronostico:</w:t>
      </w:r>
    </w:p>
    <w:p w14:paraId="699A42D7" w14:textId="77777777" w:rsidR="00A81A90" w:rsidRPr="00A81A90" w:rsidRDefault="00A81A90" w:rsidP="00A81A90">
      <w:r w:rsidRPr="00A81A90">
        <w:t>Una vez pasado los filtros de calidad del modelo, se pronosticó los precios hasta el mes agosto del 2021:</w:t>
      </w:r>
    </w:p>
    <w:p w14:paraId="634107E9" w14:textId="008A3B15" w:rsidR="00CB2400" w:rsidRDefault="00CB2400" w:rsidP="00CB2400">
      <w:pPr>
        <w:pStyle w:val="Descripcin"/>
        <w:keepNext/>
        <w:jc w:val="center"/>
      </w:pPr>
      <w:r>
        <w:t xml:space="preserve">Tabla </w:t>
      </w:r>
      <w:r>
        <w:fldChar w:fldCharType="begin"/>
      </w:r>
      <w:r>
        <w:instrText xml:space="preserve"> SEQ Tabla \* ARABIC </w:instrText>
      </w:r>
      <w:r>
        <w:fldChar w:fldCharType="separate"/>
      </w:r>
      <w:r>
        <w:rPr>
          <w:noProof/>
        </w:rPr>
        <w:t>3</w:t>
      </w:r>
      <w:r>
        <w:fldChar w:fldCharType="end"/>
      </w:r>
      <w:r>
        <w:t>: Pronóstico marzo-agosto 2021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527"/>
      </w:tblGrid>
      <w:tr w:rsidR="00A81A90" w:rsidRPr="00A81A90" w14:paraId="5652B99E" w14:textId="77777777" w:rsidTr="00CB2400">
        <w:trPr>
          <w:jc w:val="center"/>
        </w:trPr>
        <w:tc>
          <w:tcPr>
            <w:tcW w:w="1413" w:type="dxa"/>
            <w:tcBorders>
              <w:top w:val="single" w:sz="4" w:space="0" w:color="auto"/>
              <w:bottom w:val="single" w:sz="4" w:space="0" w:color="auto"/>
            </w:tcBorders>
          </w:tcPr>
          <w:p w14:paraId="5E030EDD" w14:textId="77777777" w:rsidR="00A81A90" w:rsidRPr="00A81A90" w:rsidRDefault="00A81A90" w:rsidP="00A81A90">
            <w:r w:rsidRPr="00A81A90">
              <w:t>Mes</w:t>
            </w:r>
          </w:p>
        </w:tc>
        <w:tc>
          <w:tcPr>
            <w:tcW w:w="1527" w:type="dxa"/>
            <w:tcBorders>
              <w:top w:val="single" w:sz="4" w:space="0" w:color="auto"/>
              <w:bottom w:val="single" w:sz="4" w:space="0" w:color="auto"/>
            </w:tcBorders>
          </w:tcPr>
          <w:p w14:paraId="365E2F8B" w14:textId="77777777" w:rsidR="00A81A90" w:rsidRPr="00A81A90" w:rsidRDefault="00A81A90" w:rsidP="00A81A90">
            <w:r w:rsidRPr="00A81A90">
              <w:t>Pronostico</w:t>
            </w:r>
          </w:p>
        </w:tc>
      </w:tr>
      <w:tr w:rsidR="00A81A90" w:rsidRPr="00A81A90" w14:paraId="3B03ED65" w14:textId="77777777" w:rsidTr="00CB2400">
        <w:trPr>
          <w:jc w:val="center"/>
        </w:trPr>
        <w:tc>
          <w:tcPr>
            <w:tcW w:w="1413" w:type="dxa"/>
            <w:tcBorders>
              <w:top w:val="single" w:sz="4" w:space="0" w:color="auto"/>
            </w:tcBorders>
          </w:tcPr>
          <w:p w14:paraId="3EA7BF3C" w14:textId="77777777" w:rsidR="00A81A90" w:rsidRPr="00A81A90" w:rsidRDefault="00A81A90" w:rsidP="00A81A90">
            <w:r w:rsidRPr="00A81A90">
              <w:t>Marzo</w:t>
            </w:r>
          </w:p>
        </w:tc>
        <w:tc>
          <w:tcPr>
            <w:tcW w:w="1527" w:type="dxa"/>
            <w:tcBorders>
              <w:top w:val="single" w:sz="4" w:space="0" w:color="auto"/>
            </w:tcBorders>
          </w:tcPr>
          <w:p w14:paraId="44603CA9" w14:textId="77777777" w:rsidR="00A81A90" w:rsidRPr="00A81A90" w:rsidRDefault="00A81A90" w:rsidP="00A81A90">
            <w:r w:rsidRPr="00A81A90">
              <w:t>38.06201</w:t>
            </w:r>
          </w:p>
        </w:tc>
      </w:tr>
      <w:tr w:rsidR="00A81A90" w:rsidRPr="00A81A90" w14:paraId="4B5279BC" w14:textId="77777777" w:rsidTr="00CB2400">
        <w:trPr>
          <w:jc w:val="center"/>
        </w:trPr>
        <w:tc>
          <w:tcPr>
            <w:tcW w:w="1413" w:type="dxa"/>
          </w:tcPr>
          <w:p w14:paraId="20B718E8" w14:textId="77777777" w:rsidR="00A81A90" w:rsidRPr="00A81A90" w:rsidRDefault="00A81A90" w:rsidP="00A81A90">
            <w:r w:rsidRPr="00A81A90">
              <w:t>Abril</w:t>
            </w:r>
          </w:p>
        </w:tc>
        <w:tc>
          <w:tcPr>
            <w:tcW w:w="1527" w:type="dxa"/>
          </w:tcPr>
          <w:p w14:paraId="2B432E43" w14:textId="77777777" w:rsidR="00A81A90" w:rsidRPr="00A81A90" w:rsidRDefault="00A81A90" w:rsidP="00A81A90">
            <w:r w:rsidRPr="00A81A90">
              <w:t>36.16518</w:t>
            </w:r>
          </w:p>
        </w:tc>
      </w:tr>
      <w:tr w:rsidR="00A81A90" w:rsidRPr="00A81A90" w14:paraId="7F1486B2" w14:textId="77777777" w:rsidTr="00CB2400">
        <w:trPr>
          <w:jc w:val="center"/>
        </w:trPr>
        <w:tc>
          <w:tcPr>
            <w:tcW w:w="1413" w:type="dxa"/>
          </w:tcPr>
          <w:p w14:paraId="36150062" w14:textId="77777777" w:rsidR="00A81A90" w:rsidRPr="00A81A90" w:rsidRDefault="00A81A90" w:rsidP="00A81A90">
            <w:r w:rsidRPr="00A81A90">
              <w:t>Mayo</w:t>
            </w:r>
          </w:p>
        </w:tc>
        <w:tc>
          <w:tcPr>
            <w:tcW w:w="1527" w:type="dxa"/>
          </w:tcPr>
          <w:p w14:paraId="5EBC7655" w14:textId="77777777" w:rsidR="00A81A90" w:rsidRPr="00A81A90" w:rsidRDefault="00A81A90" w:rsidP="00A81A90">
            <w:r w:rsidRPr="00A81A90">
              <w:t>36.68167</w:t>
            </w:r>
          </w:p>
        </w:tc>
      </w:tr>
      <w:tr w:rsidR="00A81A90" w:rsidRPr="00A81A90" w14:paraId="37FC339A" w14:textId="77777777" w:rsidTr="00CB2400">
        <w:trPr>
          <w:jc w:val="center"/>
        </w:trPr>
        <w:tc>
          <w:tcPr>
            <w:tcW w:w="1413" w:type="dxa"/>
          </w:tcPr>
          <w:p w14:paraId="5180697A" w14:textId="77777777" w:rsidR="00A81A90" w:rsidRPr="00A81A90" w:rsidRDefault="00A81A90" w:rsidP="00A81A90">
            <w:r w:rsidRPr="00A81A90">
              <w:t>Junio</w:t>
            </w:r>
          </w:p>
        </w:tc>
        <w:tc>
          <w:tcPr>
            <w:tcW w:w="1527" w:type="dxa"/>
          </w:tcPr>
          <w:p w14:paraId="465B4F40" w14:textId="77777777" w:rsidR="00A81A90" w:rsidRPr="00A81A90" w:rsidRDefault="00A81A90" w:rsidP="00A81A90">
            <w:r w:rsidRPr="00A81A90">
              <w:t>38.26447</w:t>
            </w:r>
          </w:p>
        </w:tc>
      </w:tr>
      <w:tr w:rsidR="00A81A90" w:rsidRPr="00A81A90" w14:paraId="67F5C205" w14:textId="77777777" w:rsidTr="00CB2400">
        <w:trPr>
          <w:jc w:val="center"/>
        </w:trPr>
        <w:tc>
          <w:tcPr>
            <w:tcW w:w="1413" w:type="dxa"/>
          </w:tcPr>
          <w:p w14:paraId="61545D41" w14:textId="77777777" w:rsidR="00A81A90" w:rsidRPr="00A81A90" w:rsidRDefault="00A81A90" w:rsidP="00A81A90">
            <w:r w:rsidRPr="00A81A90">
              <w:t>Julio</w:t>
            </w:r>
          </w:p>
        </w:tc>
        <w:tc>
          <w:tcPr>
            <w:tcW w:w="1527" w:type="dxa"/>
          </w:tcPr>
          <w:p w14:paraId="7C8A7D4C" w14:textId="77777777" w:rsidR="00A81A90" w:rsidRPr="00A81A90" w:rsidRDefault="00A81A90" w:rsidP="00A81A90">
            <w:r w:rsidRPr="00A81A90">
              <w:t>36.87466</w:t>
            </w:r>
          </w:p>
        </w:tc>
      </w:tr>
      <w:tr w:rsidR="00A81A90" w:rsidRPr="00A81A90" w14:paraId="08C6085C" w14:textId="77777777" w:rsidTr="00CB2400">
        <w:trPr>
          <w:jc w:val="center"/>
        </w:trPr>
        <w:tc>
          <w:tcPr>
            <w:tcW w:w="1413" w:type="dxa"/>
          </w:tcPr>
          <w:p w14:paraId="5A212BEE" w14:textId="77777777" w:rsidR="00A81A90" w:rsidRPr="00A81A90" w:rsidRDefault="00A81A90" w:rsidP="00A81A90">
            <w:r w:rsidRPr="00A81A90">
              <w:t>Agosto</w:t>
            </w:r>
          </w:p>
        </w:tc>
        <w:tc>
          <w:tcPr>
            <w:tcW w:w="1527" w:type="dxa"/>
          </w:tcPr>
          <w:p w14:paraId="459F3BCD" w14:textId="77777777" w:rsidR="00A81A90" w:rsidRPr="00A81A90" w:rsidRDefault="00A81A90" w:rsidP="00A81A90">
            <w:r w:rsidRPr="00A81A90">
              <w:t>36.08733</w:t>
            </w:r>
          </w:p>
        </w:tc>
      </w:tr>
    </w:tbl>
    <w:p w14:paraId="303B5F94" w14:textId="77CF85BE" w:rsidR="00A81A90" w:rsidRPr="00CB2400" w:rsidRDefault="00CB2400" w:rsidP="00CB2400">
      <w:pPr>
        <w:jc w:val="center"/>
        <w:rPr>
          <w:i/>
          <w:iCs/>
          <w:color w:val="44546A" w:themeColor="text2"/>
          <w:sz w:val="18"/>
          <w:szCs w:val="18"/>
        </w:rPr>
      </w:pPr>
      <w:r>
        <w:rPr>
          <w:i/>
          <w:iCs/>
          <w:color w:val="44546A" w:themeColor="text2"/>
          <w:sz w:val="18"/>
          <w:szCs w:val="18"/>
        </w:rPr>
        <w:t>Elaboración: Autores</w:t>
      </w:r>
    </w:p>
    <w:p w14:paraId="21E68228" w14:textId="77777777" w:rsidR="00CB2400" w:rsidRPr="00A81A90" w:rsidRDefault="00CB2400" w:rsidP="00A81A90"/>
    <w:p w14:paraId="6EC727EB" w14:textId="77777777" w:rsidR="00CB2400" w:rsidRDefault="00A81A90" w:rsidP="00CB2400">
      <w:pPr>
        <w:keepNext/>
        <w:jc w:val="center"/>
      </w:pPr>
      <w:r w:rsidRPr="00A81A90">
        <w:rPr>
          <w:noProof/>
        </w:rPr>
        <w:lastRenderedPageBreak/>
        <w:drawing>
          <wp:inline distT="0" distB="0" distL="0" distR="0" wp14:anchorId="540EB0B3" wp14:editId="529DA602">
            <wp:extent cx="4257675" cy="309649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1316" cy="3099139"/>
                    </a:xfrm>
                    <a:prstGeom prst="rect">
                      <a:avLst/>
                    </a:prstGeom>
                    <a:noFill/>
                    <a:ln>
                      <a:noFill/>
                    </a:ln>
                  </pic:spPr>
                </pic:pic>
              </a:graphicData>
            </a:graphic>
          </wp:inline>
        </w:drawing>
      </w:r>
    </w:p>
    <w:p w14:paraId="70CE8668" w14:textId="420DD89E" w:rsidR="00A81A90" w:rsidRPr="00A81A90" w:rsidRDefault="00CB2400" w:rsidP="00CB2400">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t xml:space="preserve">: </w:t>
      </w:r>
      <w:r w:rsidRPr="00283FB9">
        <w:t>Pronóstico de</w:t>
      </w:r>
      <w:r>
        <w:t>l precio de cierre</w:t>
      </w:r>
      <w:r w:rsidRPr="00283FB9">
        <w:t xml:space="preserve">  (2010.Enero - 2021-</w:t>
      </w:r>
      <w:r>
        <w:t>Agos</w:t>
      </w:r>
      <w:r w:rsidRPr="00283FB9">
        <w:t>o)</w:t>
      </w:r>
      <w:r>
        <w:t xml:space="preserve"> ARIMA</w:t>
      </w:r>
    </w:p>
    <w:p w14:paraId="3E073539" w14:textId="77777777" w:rsidR="00A81A90" w:rsidRPr="00A81A90" w:rsidRDefault="00A81A90" w:rsidP="00A81A90"/>
    <w:p w14:paraId="3591A5D9" w14:textId="77777777" w:rsidR="00A81A90" w:rsidRPr="00A81A90" w:rsidRDefault="00A81A90" w:rsidP="00CB2400">
      <w:r w:rsidRPr="00A81A90">
        <w:t>El pronóstico nos dice que el precio de las acciones de Pfizer en los próximos 6 meses seguirá subiendo, por lo que se recomendaría a los inversionistas la comprar de las acciones de esta empresa.</w:t>
      </w:r>
    </w:p>
    <w:p w14:paraId="2F943D04" w14:textId="77777777" w:rsidR="00A81A90" w:rsidRPr="00A81A90" w:rsidRDefault="00A81A90" w:rsidP="00A81A90"/>
    <w:p w14:paraId="64F58B5B" w14:textId="3B80256F" w:rsidR="00A81A90" w:rsidRPr="00A81A90" w:rsidRDefault="00CB2400" w:rsidP="00CB2400">
      <w:pPr>
        <w:pStyle w:val="Ttulo3"/>
      </w:pPr>
      <w:r>
        <w:t>Modelo SARIMA</w:t>
      </w:r>
    </w:p>
    <w:p w14:paraId="3AF01825" w14:textId="73EFB017" w:rsidR="00A81A90" w:rsidRPr="00A81A90" w:rsidRDefault="00A81A90" w:rsidP="00A81A90">
      <w:r w:rsidRPr="00A81A90">
        <w:t>Como se mostró en</w:t>
      </w:r>
      <w:r w:rsidR="00763CF7">
        <w:t xml:space="preserve"> la ilustración 3</w:t>
      </w:r>
      <w:r w:rsidRPr="00A81A90">
        <w:t xml:space="preserve">, la serie de tiempo del precio de cierre de las acciones de la compañía Pfizer no presentó un comportamiento estacional claro, por lo que con la ayuda del programa Eviews 10 se calculó el factor estacional por el método de medias móviles modelo multiplicativo, los resultados se presentan en la tabla </w:t>
      </w:r>
      <w:r w:rsidR="00763CF7">
        <w:t>4</w:t>
      </w:r>
      <w:r w:rsidRPr="00A81A90">
        <w:t>.</w:t>
      </w:r>
    </w:p>
    <w:p w14:paraId="27DB2779" w14:textId="77777777" w:rsidR="00A81A90" w:rsidRPr="00A81A90" w:rsidRDefault="00A81A90" w:rsidP="00A81A90">
      <w:pPr>
        <w:pStyle w:val="Descripcin"/>
        <w:keepNext/>
        <w:ind w:firstLine="0"/>
        <w:jc w:val="center"/>
      </w:pPr>
    </w:p>
    <w:p w14:paraId="1D86133E" w14:textId="7BEAF26C" w:rsidR="00A81A90" w:rsidRPr="00A81A90" w:rsidRDefault="00A81A90" w:rsidP="00A81A90">
      <w:pPr>
        <w:pStyle w:val="Descripcin"/>
        <w:keepNext/>
        <w:ind w:firstLine="0"/>
        <w:jc w:val="center"/>
      </w:pPr>
      <w:r w:rsidRPr="00A81A90">
        <w:t xml:space="preserve">Tabla </w:t>
      </w:r>
      <w:r w:rsidRPr="00A81A90">
        <w:fldChar w:fldCharType="begin"/>
      </w:r>
      <w:r w:rsidRPr="00A81A90">
        <w:instrText xml:space="preserve"> SEQ Tabla \* ARABIC </w:instrText>
      </w:r>
      <w:r w:rsidRPr="00A81A90">
        <w:fldChar w:fldCharType="separate"/>
      </w:r>
      <w:r w:rsidR="00CB2400">
        <w:rPr>
          <w:noProof/>
        </w:rPr>
        <w:t>4</w:t>
      </w:r>
      <w:r w:rsidRPr="00A81A90">
        <w:rPr>
          <w:noProof/>
        </w:rPr>
        <w:fldChar w:fldCharType="end"/>
      </w:r>
      <w:r w:rsidRPr="00A81A90">
        <w:t>: Factor estacional (Precio de las acciones de Pfizer)</w:t>
      </w:r>
    </w:p>
    <w:tbl>
      <w:tblPr>
        <w:tblStyle w:val="TABLAAPA6TAED"/>
        <w:tblW w:w="4762" w:type="dxa"/>
        <w:jc w:val="center"/>
        <w:tblLook w:val="04A0" w:firstRow="1" w:lastRow="0" w:firstColumn="1" w:lastColumn="0" w:noHBand="0" w:noVBand="1"/>
      </w:tblPr>
      <w:tblGrid>
        <w:gridCol w:w="1488"/>
        <w:gridCol w:w="1534"/>
        <w:gridCol w:w="1740"/>
      </w:tblGrid>
      <w:tr w:rsidR="00A81A90" w:rsidRPr="00CB2400" w14:paraId="51FA7BF0" w14:textId="77777777" w:rsidTr="00A81A90">
        <w:trPr>
          <w:cnfStyle w:val="100000000000" w:firstRow="1" w:lastRow="0" w:firstColumn="0" w:lastColumn="0" w:oddVBand="0" w:evenVBand="0" w:oddHBand="0"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488" w:type="dxa"/>
            <w:hideMark/>
          </w:tcPr>
          <w:p w14:paraId="3B9CF389" w14:textId="77777777" w:rsidR="00A81A90" w:rsidRPr="00CB2400" w:rsidRDefault="00A81A90" w:rsidP="00CB2400">
            <w:pPr>
              <w:rPr>
                <w:sz w:val="22"/>
                <w:szCs w:val="20"/>
              </w:rPr>
            </w:pPr>
            <w:r w:rsidRPr="00CB2400">
              <w:rPr>
                <w:sz w:val="22"/>
                <w:szCs w:val="20"/>
              </w:rPr>
              <w:t>Número</w:t>
            </w:r>
          </w:p>
        </w:tc>
        <w:tc>
          <w:tcPr>
            <w:tcW w:w="1534" w:type="dxa"/>
            <w:hideMark/>
          </w:tcPr>
          <w:p w14:paraId="0F37A996" w14:textId="77777777" w:rsidR="00A81A90" w:rsidRPr="00CB2400" w:rsidRDefault="00A81A90" w:rsidP="00CB2400">
            <w:pPr>
              <w:cnfStyle w:val="100000000000" w:firstRow="1" w:lastRow="0" w:firstColumn="0" w:lastColumn="0" w:oddVBand="0" w:evenVBand="0" w:oddHBand="0" w:evenHBand="0" w:firstRowFirstColumn="0" w:firstRowLastColumn="0" w:lastRowFirstColumn="0" w:lastRowLastColumn="0"/>
              <w:rPr>
                <w:sz w:val="22"/>
                <w:szCs w:val="20"/>
              </w:rPr>
            </w:pPr>
            <w:r w:rsidRPr="00CB2400">
              <w:rPr>
                <w:sz w:val="22"/>
                <w:szCs w:val="20"/>
              </w:rPr>
              <w:t>Mes</w:t>
            </w:r>
          </w:p>
        </w:tc>
        <w:tc>
          <w:tcPr>
            <w:tcW w:w="1740" w:type="dxa"/>
            <w:hideMark/>
          </w:tcPr>
          <w:p w14:paraId="657198A9" w14:textId="77777777" w:rsidR="00A81A90" w:rsidRPr="00CB2400" w:rsidRDefault="00A81A90" w:rsidP="00CB2400">
            <w:pPr>
              <w:cnfStyle w:val="100000000000" w:firstRow="1" w:lastRow="0" w:firstColumn="0" w:lastColumn="0" w:oddVBand="0" w:evenVBand="0" w:oddHBand="0" w:evenHBand="0" w:firstRowFirstColumn="0" w:firstRowLastColumn="0" w:lastRowFirstColumn="0" w:lastRowLastColumn="0"/>
              <w:rPr>
                <w:sz w:val="22"/>
                <w:szCs w:val="20"/>
              </w:rPr>
            </w:pPr>
            <w:r w:rsidRPr="00CB2400">
              <w:rPr>
                <w:sz w:val="22"/>
                <w:szCs w:val="20"/>
              </w:rPr>
              <w:t>Factor Estacional</w:t>
            </w:r>
          </w:p>
        </w:tc>
      </w:tr>
      <w:tr w:rsidR="00A81A90" w:rsidRPr="00CB2400" w14:paraId="0A5B017E"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11717949" w14:textId="77777777" w:rsidR="00A81A90" w:rsidRPr="00CB2400" w:rsidRDefault="00A81A90" w:rsidP="00CB2400">
            <w:pPr>
              <w:rPr>
                <w:sz w:val="22"/>
                <w:szCs w:val="20"/>
              </w:rPr>
            </w:pPr>
            <w:r w:rsidRPr="00CB2400">
              <w:rPr>
                <w:sz w:val="22"/>
                <w:szCs w:val="20"/>
              </w:rPr>
              <w:t>1</w:t>
            </w:r>
          </w:p>
        </w:tc>
        <w:tc>
          <w:tcPr>
            <w:tcW w:w="1534" w:type="dxa"/>
            <w:noWrap/>
            <w:hideMark/>
          </w:tcPr>
          <w:p w14:paraId="4946A9DB"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Enero</w:t>
            </w:r>
          </w:p>
        </w:tc>
        <w:tc>
          <w:tcPr>
            <w:tcW w:w="1740" w:type="dxa"/>
            <w:noWrap/>
            <w:hideMark/>
          </w:tcPr>
          <w:p w14:paraId="36EF0336"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0,994</w:t>
            </w:r>
          </w:p>
        </w:tc>
      </w:tr>
      <w:tr w:rsidR="00A81A90" w:rsidRPr="00CB2400" w14:paraId="0DBF0BE7"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6054EE34" w14:textId="77777777" w:rsidR="00A81A90" w:rsidRPr="00CB2400" w:rsidRDefault="00A81A90" w:rsidP="00CB2400">
            <w:pPr>
              <w:rPr>
                <w:sz w:val="22"/>
                <w:szCs w:val="20"/>
              </w:rPr>
            </w:pPr>
            <w:r w:rsidRPr="00CB2400">
              <w:rPr>
                <w:sz w:val="22"/>
                <w:szCs w:val="20"/>
              </w:rPr>
              <w:t>2</w:t>
            </w:r>
          </w:p>
        </w:tc>
        <w:tc>
          <w:tcPr>
            <w:tcW w:w="1534" w:type="dxa"/>
            <w:noWrap/>
            <w:hideMark/>
          </w:tcPr>
          <w:p w14:paraId="354319E8"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Febrero</w:t>
            </w:r>
          </w:p>
        </w:tc>
        <w:tc>
          <w:tcPr>
            <w:tcW w:w="1740" w:type="dxa"/>
            <w:noWrap/>
            <w:hideMark/>
          </w:tcPr>
          <w:p w14:paraId="6A45AB07"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1,001</w:t>
            </w:r>
          </w:p>
        </w:tc>
      </w:tr>
      <w:tr w:rsidR="00A81A90" w:rsidRPr="00CB2400" w14:paraId="025B52D0"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75386705" w14:textId="77777777" w:rsidR="00A81A90" w:rsidRPr="00CB2400" w:rsidRDefault="00A81A90" w:rsidP="00CB2400">
            <w:pPr>
              <w:rPr>
                <w:sz w:val="22"/>
                <w:szCs w:val="20"/>
              </w:rPr>
            </w:pPr>
            <w:r w:rsidRPr="00CB2400">
              <w:rPr>
                <w:sz w:val="22"/>
                <w:szCs w:val="20"/>
              </w:rPr>
              <w:t>3</w:t>
            </w:r>
          </w:p>
        </w:tc>
        <w:tc>
          <w:tcPr>
            <w:tcW w:w="1534" w:type="dxa"/>
            <w:noWrap/>
            <w:hideMark/>
          </w:tcPr>
          <w:p w14:paraId="0FD51D4F"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Marzo</w:t>
            </w:r>
          </w:p>
        </w:tc>
        <w:tc>
          <w:tcPr>
            <w:tcW w:w="1740" w:type="dxa"/>
            <w:noWrap/>
            <w:hideMark/>
          </w:tcPr>
          <w:p w14:paraId="7DD22827"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1,007</w:t>
            </w:r>
          </w:p>
        </w:tc>
      </w:tr>
      <w:tr w:rsidR="00A81A90" w:rsidRPr="00CB2400" w14:paraId="4E66AC4F"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0484A5BF" w14:textId="77777777" w:rsidR="00A81A90" w:rsidRPr="00CB2400" w:rsidRDefault="00A81A90" w:rsidP="00CB2400">
            <w:pPr>
              <w:rPr>
                <w:sz w:val="22"/>
                <w:szCs w:val="20"/>
              </w:rPr>
            </w:pPr>
            <w:r w:rsidRPr="00CB2400">
              <w:rPr>
                <w:sz w:val="22"/>
                <w:szCs w:val="20"/>
              </w:rPr>
              <w:t>4</w:t>
            </w:r>
          </w:p>
        </w:tc>
        <w:tc>
          <w:tcPr>
            <w:tcW w:w="1534" w:type="dxa"/>
            <w:noWrap/>
            <w:hideMark/>
          </w:tcPr>
          <w:p w14:paraId="6FD73BFF"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Abril</w:t>
            </w:r>
          </w:p>
        </w:tc>
        <w:tc>
          <w:tcPr>
            <w:tcW w:w="1740" w:type="dxa"/>
            <w:noWrap/>
            <w:hideMark/>
          </w:tcPr>
          <w:p w14:paraId="2F258B88"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1,023</w:t>
            </w:r>
          </w:p>
        </w:tc>
      </w:tr>
      <w:tr w:rsidR="00A81A90" w:rsidRPr="00CB2400" w14:paraId="75A53A7F"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53ED2C9D" w14:textId="77777777" w:rsidR="00A81A90" w:rsidRPr="00CB2400" w:rsidRDefault="00A81A90" w:rsidP="00CB2400">
            <w:pPr>
              <w:rPr>
                <w:sz w:val="22"/>
                <w:szCs w:val="20"/>
              </w:rPr>
            </w:pPr>
            <w:r w:rsidRPr="00CB2400">
              <w:rPr>
                <w:sz w:val="22"/>
                <w:szCs w:val="20"/>
              </w:rPr>
              <w:t>5</w:t>
            </w:r>
          </w:p>
        </w:tc>
        <w:tc>
          <w:tcPr>
            <w:tcW w:w="1534" w:type="dxa"/>
            <w:noWrap/>
            <w:hideMark/>
          </w:tcPr>
          <w:p w14:paraId="4CD55BAD"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Mayo</w:t>
            </w:r>
          </w:p>
        </w:tc>
        <w:tc>
          <w:tcPr>
            <w:tcW w:w="1740" w:type="dxa"/>
            <w:noWrap/>
            <w:hideMark/>
          </w:tcPr>
          <w:p w14:paraId="302AD11E"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1,007</w:t>
            </w:r>
          </w:p>
        </w:tc>
      </w:tr>
      <w:tr w:rsidR="00A81A90" w:rsidRPr="00CB2400" w14:paraId="173317A7"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5EC208BB" w14:textId="77777777" w:rsidR="00A81A90" w:rsidRPr="00CB2400" w:rsidRDefault="00A81A90" w:rsidP="00CB2400">
            <w:pPr>
              <w:rPr>
                <w:sz w:val="22"/>
                <w:szCs w:val="20"/>
              </w:rPr>
            </w:pPr>
            <w:r w:rsidRPr="00CB2400">
              <w:rPr>
                <w:sz w:val="22"/>
                <w:szCs w:val="20"/>
              </w:rPr>
              <w:t>6</w:t>
            </w:r>
          </w:p>
        </w:tc>
        <w:tc>
          <w:tcPr>
            <w:tcW w:w="1534" w:type="dxa"/>
            <w:noWrap/>
            <w:hideMark/>
          </w:tcPr>
          <w:p w14:paraId="54D5CBAB"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Junio</w:t>
            </w:r>
          </w:p>
        </w:tc>
        <w:tc>
          <w:tcPr>
            <w:tcW w:w="1740" w:type="dxa"/>
            <w:noWrap/>
            <w:hideMark/>
          </w:tcPr>
          <w:p w14:paraId="28F341E1"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0,995</w:t>
            </w:r>
          </w:p>
        </w:tc>
      </w:tr>
      <w:tr w:rsidR="00A81A90" w:rsidRPr="00CB2400" w14:paraId="3919729D"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1E1F1D03" w14:textId="77777777" w:rsidR="00A81A90" w:rsidRPr="00CB2400" w:rsidRDefault="00A81A90" w:rsidP="00CB2400">
            <w:pPr>
              <w:rPr>
                <w:sz w:val="22"/>
                <w:szCs w:val="20"/>
              </w:rPr>
            </w:pPr>
            <w:r w:rsidRPr="00CB2400">
              <w:rPr>
                <w:sz w:val="22"/>
                <w:szCs w:val="20"/>
              </w:rPr>
              <w:lastRenderedPageBreak/>
              <w:t>7</w:t>
            </w:r>
          </w:p>
        </w:tc>
        <w:tc>
          <w:tcPr>
            <w:tcW w:w="1534" w:type="dxa"/>
            <w:noWrap/>
            <w:hideMark/>
          </w:tcPr>
          <w:p w14:paraId="2AA8D089"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Julio</w:t>
            </w:r>
          </w:p>
        </w:tc>
        <w:tc>
          <w:tcPr>
            <w:tcW w:w="1740" w:type="dxa"/>
            <w:noWrap/>
            <w:hideMark/>
          </w:tcPr>
          <w:p w14:paraId="2954E672"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1,003</w:t>
            </w:r>
          </w:p>
        </w:tc>
      </w:tr>
      <w:tr w:rsidR="00A81A90" w:rsidRPr="00CB2400" w14:paraId="32F1415E"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204ECAA7" w14:textId="77777777" w:rsidR="00A81A90" w:rsidRPr="00CB2400" w:rsidRDefault="00A81A90" w:rsidP="00CB2400">
            <w:pPr>
              <w:rPr>
                <w:sz w:val="22"/>
                <w:szCs w:val="20"/>
              </w:rPr>
            </w:pPr>
            <w:r w:rsidRPr="00CB2400">
              <w:rPr>
                <w:sz w:val="22"/>
                <w:szCs w:val="20"/>
              </w:rPr>
              <w:t>8</w:t>
            </w:r>
          </w:p>
        </w:tc>
        <w:tc>
          <w:tcPr>
            <w:tcW w:w="1534" w:type="dxa"/>
            <w:noWrap/>
            <w:hideMark/>
          </w:tcPr>
          <w:p w14:paraId="09C12570"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Agosto</w:t>
            </w:r>
          </w:p>
        </w:tc>
        <w:tc>
          <w:tcPr>
            <w:tcW w:w="1740" w:type="dxa"/>
            <w:noWrap/>
            <w:hideMark/>
          </w:tcPr>
          <w:p w14:paraId="51C5F913"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0,979</w:t>
            </w:r>
          </w:p>
        </w:tc>
      </w:tr>
      <w:tr w:rsidR="00A81A90" w:rsidRPr="00CB2400" w14:paraId="3FD5CAE2"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6C658977" w14:textId="77777777" w:rsidR="00A81A90" w:rsidRPr="00CB2400" w:rsidRDefault="00A81A90" w:rsidP="00CB2400">
            <w:pPr>
              <w:rPr>
                <w:sz w:val="22"/>
                <w:szCs w:val="20"/>
              </w:rPr>
            </w:pPr>
            <w:r w:rsidRPr="00CB2400">
              <w:rPr>
                <w:sz w:val="22"/>
                <w:szCs w:val="20"/>
              </w:rPr>
              <w:t>9</w:t>
            </w:r>
          </w:p>
        </w:tc>
        <w:tc>
          <w:tcPr>
            <w:tcW w:w="1534" w:type="dxa"/>
            <w:noWrap/>
            <w:hideMark/>
          </w:tcPr>
          <w:p w14:paraId="0E577DAA"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Septiembre</w:t>
            </w:r>
          </w:p>
        </w:tc>
        <w:tc>
          <w:tcPr>
            <w:tcW w:w="1740" w:type="dxa"/>
            <w:noWrap/>
            <w:hideMark/>
          </w:tcPr>
          <w:p w14:paraId="4D7C97BB"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0,984</w:t>
            </w:r>
          </w:p>
        </w:tc>
      </w:tr>
      <w:tr w:rsidR="00A81A90" w:rsidRPr="00CB2400" w14:paraId="18CC54AF"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07D513CD" w14:textId="77777777" w:rsidR="00A81A90" w:rsidRPr="00CB2400" w:rsidRDefault="00A81A90" w:rsidP="00CB2400">
            <w:pPr>
              <w:rPr>
                <w:sz w:val="22"/>
                <w:szCs w:val="20"/>
              </w:rPr>
            </w:pPr>
            <w:r w:rsidRPr="00CB2400">
              <w:rPr>
                <w:sz w:val="22"/>
                <w:szCs w:val="20"/>
              </w:rPr>
              <w:t>10</w:t>
            </w:r>
          </w:p>
        </w:tc>
        <w:tc>
          <w:tcPr>
            <w:tcW w:w="1534" w:type="dxa"/>
            <w:noWrap/>
            <w:hideMark/>
          </w:tcPr>
          <w:p w14:paraId="14654ED5"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Octubre</w:t>
            </w:r>
          </w:p>
        </w:tc>
        <w:tc>
          <w:tcPr>
            <w:tcW w:w="1740" w:type="dxa"/>
            <w:noWrap/>
            <w:hideMark/>
          </w:tcPr>
          <w:p w14:paraId="0D8DED11"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0,997</w:t>
            </w:r>
          </w:p>
        </w:tc>
      </w:tr>
      <w:tr w:rsidR="00A81A90" w:rsidRPr="00CB2400" w14:paraId="47E7497B"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71D97731" w14:textId="77777777" w:rsidR="00A81A90" w:rsidRPr="00CB2400" w:rsidRDefault="00A81A90" w:rsidP="00CB2400">
            <w:pPr>
              <w:rPr>
                <w:sz w:val="22"/>
                <w:szCs w:val="20"/>
              </w:rPr>
            </w:pPr>
            <w:r w:rsidRPr="00CB2400">
              <w:rPr>
                <w:sz w:val="22"/>
                <w:szCs w:val="20"/>
              </w:rPr>
              <w:t>11</w:t>
            </w:r>
          </w:p>
        </w:tc>
        <w:tc>
          <w:tcPr>
            <w:tcW w:w="1534" w:type="dxa"/>
            <w:noWrap/>
            <w:hideMark/>
          </w:tcPr>
          <w:p w14:paraId="3EBE86CA"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Noviembre</w:t>
            </w:r>
          </w:p>
        </w:tc>
        <w:tc>
          <w:tcPr>
            <w:tcW w:w="1740" w:type="dxa"/>
            <w:noWrap/>
            <w:hideMark/>
          </w:tcPr>
          <w:p w14:paraId="2E45D41E"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1,005</w:t>
            </w:r>
          </w:p>
        </w:tc>
      </w:tr>
      <w:tr w:rsidR="00A81A90" w:rsidRPr="00CB2400" w14:paraId="712EDA2A" w14:textId="77777777" w:rsidTr="00A81A90">
        <w:trPr>
          <w:trHeight w:val="308"/>
          <w:jc w:val="center"/>
        </w:trPr>
        <w:tc>
          <w:tcPr>
            <w:cnfStyle w:val="001000000000" w:firstRow="0" w:lastRow="0" w:firstColumn="1" w:lastColumn="0" w:oddVBand="0" w:evenVBand="0" w:oddHBand="0" w:evenHBand="0" w:firstRowFirstColumn="0" w:firstRowLastColumn="0" w:lastRowFirstColumn="0" w:lastRowLastColumn="0"/>
            <w:tcW w:w="1488" w:type="dxa"/>
            <w:noWrap/>
            <w:hideMark/>
          </w:tcPr>
          <w:p w14:paraId="0EFAD192" w14:textId="77777777" w:rsidR="00A81A90" w:rsidRPr="00CB2400" w:rsidRDefault="00A81A90" w:rsidP="00CB2400">
            <w:pPr>
              <w:rPr>
                <w:sz w:val="22"/>
                <w:szCs w:val="20"/>
              </w:rPr>
            </w:pPr>
            <w:r w:rsidRPr="00CB2400">
              <w:rPr>
                <w:sz w:val="22"/>
                <w:szCs w:val="20"/>
              </w:rPr>
              <w:t>12</w:t>
            </w:r>
          </w:p>
        </w:tc>
        <w:tc>
          <w:tcPr>
            <w:tcW w:w="1534" w:type="dxa"/>
            <w:noWrap/>
            <w:hideMark/>
          </w:tcPr>
          <w:p w14:paraId="4746985E"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Diciembre</w:t>
            </w:r>
          </w:p>
        </w:tc>
        <w:tc>
          <w:tcPr>
            <w:tcW w:w="1740" w:type="dxa"/>
            <w:noWrap/>
            <w:hideMark/>
          </w:tcPr>
          <w:p w14:paraId="7A502F2D"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1,004</w:t>
            </w:r>
          </w:p>
        </w:tc>
      </w:tr>
    </w:tbl>
    <w:p w14:paraId="2D74712C" w14:textId="77777777" w:rsidR="00A81A90" w:rsidRPr="00A81A90" w:rsidRDefault="00A81A90" w:rsidP="00A81A90">
      <w:pPr>
        <w:jc w:val="center"/>
        <w:rPr>
          <w:i/>
          <w:iCs/>
          <w:color w:val="44546A" w:themeColor="text2"/>
          <w:sz w:val="18"/>
          <w:szCs w:val="18"/>
        </w:rPr>
      </w:pPr>
      <w:r w:rsidRPr="00A81A90">
        <w:rPr>
          <w:i/>
          <w:iCs/>
          <w:color w:val="44546A" w:themeColor="text2"/>
          <w:sz w:val="18"/>
          <w:szCs w:val="18"/>
        </w:rPr>
        <w:t>Elaboración: Autores</w:t>
      </w:r>
    </w:p>
    <w:p w14:paraId="67267ED2" w14:textId="77777777" w:rsidR="00A81A90" w:rsidRPr="00A81A90" w:rsidRDefault="00A81A90" w:rsidP="00A81A90">
      <w:pPr>
        <w:jc w:val="center"/>
        <w:rPr>
          <w:i/>
          <w:iCs/>
          <w:color w:val="44546A" w:themeColor="text2"/>
          <w:sz w:val="18"/>
          <w:szCs w:val="18"/>
        </w:rPr>
      </w:pPr>
    </w:p>
    <w:p w14:paraId="4ADC3653" w14:textId="77777777" w:rsidR="00A81A90" w:rsidRPr="00A81A90" w:rsidRDefault="00A81A90" w:rsidP="00CB2400">
      <w:r w:rsidRPr="00A81A90">
        <w:t>El coeficiente del factor estacional es aproximadamente uno, lo que sugiere que no existe una estacionalidad fuerte durante cada año.</w:t>
      </w:r>
    </w:p>
    <w:p w14:paraId="7D1CE78A" w14:textId="77777777" w:rsidR="00A81A90" w:rsidRPr="00A81A90" w:rsidRDefault="00A81A90" w:rsidP="00A81A90"/>
    <w:p w14:paraId="58EB8DB8" w14:textId="77777777" w:rsidR="00A81A90" w:rsidRPr="00A81A90" w:rsidRDefault="00A81A90" w:rsidP="00CB2400">
      <w:r w:rsidRPr="00A81A90">
        <w:t>Para reforzar el análisis se realizó el test de raíz unitaria estacional de Hegy en el programa Eviews 10, los resultados se presentan a continuación.</w:t>
      </w:r>
    </w:p>
    <w:p w14:paraId="5FA8BDF5" w14:textId="77777777" w:rsidR="00A81A90" w:rsidRPr="00A81A90" w:rsidRDefault="00A81A90" w:rsidP="00A81A90"/>
    <w:p w14:paraId="678C5258" w14:textId="31676273" w:rsidR="00A81A90" w:rsidRPr="00A81A90" w:rsidRDefault="00A81A90" w:rsidP="00A81A90">
      <w:pPr>
        <w:pStyle w:val="Descripcin"/>
        <w:keepNext/>
        <w:jc w:val="center"/>
      </w:pPr>
      <w:r w:rsidRPr="00A81A90">
        <w:t xml:space="preserve">Tabla </w:t>
      </w:r>
      <w:r w:rsidRPr="00A81A90">
        <w:fldChar w:fldCharType="begin"/>
      </w:r>
      <w:r w:rsidRPr="00A81A90">
        <w:instrText xml:space="preserve"> SEQ Tabla \* ARABIC </w:instrText>
      </w:r>
      <w:r w:rsidRPr="00A81A90">
        <w:fldChar w:fldCharType="separate"/>
      </w:r>
      <w:r w:rsidR="00CB2400">
        <w:rPr>
          <w:noProof/>
        </w:rPr>
        <w:t>5</w:t>
      </w:r>
      <w:r w:rsidRPr="00A81A90">
        <w:rPr>
          <w:noProof/>
        </w:rPr>
        <w:fldChar w:fldCharType="end"/>
      </w:r>
      <w:r w:rsidRPr="00A81A90">
        <w:t>: Prueba de raíz unitaria estacional | HEGY</w:t>
      </w:r>
    </w:p>
    <w:tbl>
      <w:tblPr>
        <w:tblStyle w:val="TABLAAPA6TAED"/>
        <w:tblW w:w="7822" w:type="dxa"/>
        <w:jc w:val="center"/>
        <w:tblLook w:val="04A0" w:firstRow="1" w:lastRow="0" w:firstColumn="1" w:lastColumn="0" w:noHBand="0" w:noVBand="1"/>
      </w:tblPr>
      <w:tblGrid>
        <w:gridCol w:w="4581"/>
        <w:gridCol w:w="1971"/>
        <w:gridCol w:w="1526"/>
      </w:tblGrid>
      <w:tr w:rsidR="00A81A90" w:rsidRPr="00763CF7" w14:paraId="738889B3" w14:textId="77777777" w:rsidTr="00A81A9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0D3FDADB" w14:textId="77777777" w:rsidR="00A81A90" w:rsidRPr="00763CF7" w:rsidRDefault="00A81A90" w:rsidP="00763CF7">
            <w:pPr>
              <w:rPr>
                <w:sz w:val="23"/>
                <w:szCs w:val="23"/>
              </w:rPr>
            </w:pPr>
            <w:r w:rsidRPr="00763CF7">
              <w:rPr>
                <w:sz w:val="23"/>
                <w:szCs w:val="23"/>
              </w:rPr>
              <w:t>Hipótesis Nula</w:t>
            </w:r>
          </w:p>
        </w:tc>
        <w:tc>
          <w:tcPr>
            <w:tcW w:w="1971" w:type="dxa"/>
            <w:noWrap/>
            <w:hideMark/>
          </w:tcPr>
          <w:p w14:paraId="65BBB1B6" w14:textId="77777777" w:rsidR="00A81A90" w:rsidRPr="00763CF7"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3"/>
                <w:szCs w:val="23"/>
              </w:rPr>
            </w:pPr>
            <w:r w:rsidRPr="00763CF7">
              <w:rPr>
                <w:rFonts w:ascii="Calibri" w:hAnsi="Calibri" w:cs="Calibri"/>
                <w:b/>
                <w:bCs/>
                <w:color w:val="000000"/>
                <w:sz w:val="23"/>
                <w:szCs w:val="23"/>
              </w:rPr>
              <w:t>P-valor* Simulado</w:t>
            </w:r>
          </w:p>
        </w:tc>
        <w:tc>
          <w:tcPr>
            <w:tcW w:w="1270" w:type="dxa"/>
            <w:noWrap/>
            <w:hideMark/>
          </w:tcPr>
          <w:p w14:paraId="6C9D8F1F" w14:textId="77777777" w:rsidR="00A81A90" w:rsidRPr="00763CF7"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3"/>
                <w:szCs w:val="23"/>
              </w:rPr>
            </w:pPr>
            <w:r w:rsidRPr="00763CF7">
              <w:rPr>
                <w:rFonts w:ascii="Calibri" w:hAnsi="Calibri" w:cs="Calibri"/>
                <w:b/>
                <w:bCs/>
                <w:color w:val="000000"/>
                <w:sz w:val="23"/>
                <w:szCs w:val="23"/>
              </w:rPr>
              <w:t>Estadístico</w:t>
            </w:r>
          </w:p>
        </w:tc>
      </w:tr>
      <w:tr w:rsidR="00A81A90" w:rsidRPr="00763CF7" w14:paraId="35A9F775"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58179887" w14:textId="77777777" w:rsidR="00A81A90" w:rsidRPr="00763CF7" w:rsidRDefault="00A81A90" w:rsidP="00763CF7">
            <w:pPr>
              <w:rPr>
                <w:sz w:val="23"/>
                <w:szCs w:val="23"/>
              </w:rPr>
            </w:pPr>
            <w:r w:rsidRPr="00763CF7">
              <w:rPr>
                <w:sz w:val="23"/>
                <w:szCs w:val="23"/>
              </w:rPr>
              <w:t>Raíz unitaria no estacional (frecuencia cero)</w:t>
            </w:r>
          </w:p>
        </w:tc>
        <w:tc>
          <w:tcPr>
            <w:tcW w:w="1971" w:type="dxa"/>
            <w:noWrap/>
            <w:hideMark/>
          </w:tcPr>
          <w:p w14:paraId="1C4360AA"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0,2695</w:t>
            </w:r>
          </w:p>
        </w:tc>
        <w:tc>
          <w:tcPr>
            <w:tcW w:w="1270" w:type="dxa"/>
            <w:noWrap/>
            <w:hideMark/>
          </w:tcPr>
          <w:p w14:paraId="5FE029A1"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-0,9401</w:t>
            </w:r>
          </w:p>
        </w:tc>
      </w:tr>
      <w:tr w:rsidR="00A81A90" w:rsidRPr="00763CF7" w14:paraId="13AD5318"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5487018B" w14:textId="77777777" w:rsidR="00A81A90" w:rsidRPr="00763CF7" w:rsidRDefault="00A81A90" w:rsidP="00763CF7">
            <w:pPr>
              <w:rPr>
                <w:sz w:val="23"/>
                <w:szCs w:val="23"/>
              </w:rPr>
            </w:pPr>
            <w:r w:rsidRPr="00763CF7">
              <w:rPr>
                <w:sz w:val="23"/>
                <w:szCs w:val="23"/>
              </w:rPr>
              <w:t>Raíz unitaria estacional (2 meses por ciclo)</w:t>
            </w:r>
          </w:p>
        </w:tc>
        <w:tc>
          <w:tcPr>
            <w:tcW w:w="1971" w:type="dxa"/>
            <w:noWrap/>
            <w:hideMark/>
          </w:tcPr>
          <w:p w14:paraId="5A531A9F"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0,0170</w:t>
            </w:r>
          </w:p>
        </w:tc>
        <w:tc>
          <w:tcPr>
            <w:tcW w:w="1270" w:type="dxa"/>
            <w:noWrap/>
            <w:hideMark/>
          </w:tcPr>
          <w:p w14:paraId="41311988"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-3,3587</w:t>
            </w:r>
          </w:p>
        </w:tc>
      </w:tr>
      <w:tr w:rsidR="00A81A90" w:rsidRPr="00763CF7" w14:paraId="775F0305"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7B598DA4" w14:textId="77777777" w:rsidR="00A81A90" w:rsidRPr="00763CF7" w:rsidRDefault="00A81A90" w:rsidP="00763CF7">
            <w:pPr>
              <w:rPr>
                <w:sz w:val="23"/>
                <w:szCs w:val="23"/>
              </w:rPr>
            </w:pPr>
            <w:r w:rsidRPr="00763CF7">
              <w:rPr>
                <w:sz w:val="23"/>
                <w:szCs w:val="23"/>
              </w:rPr>
              <w:t>Raíz unitaria estacional (4 meses por ciclo)</w:t>
            </w:r>
          </w:p>
        </w:tc>
        <w:tc>
          <w:tcPr>
            <w:tcW w:w="1971" w:type="dxa"/>
            <w:noWrap/>
            <w:hideMark/>
          </w:tcPr>
          <w:p w14:paraId="359BC92F"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0,0002</w:t>
            </w:r>
          </w:p>
        </w:tc>
        <w:tc>
          <w:tcPr>
            <w:tcW w:w="1270" w:type="dxa"/>
            <w:noWrap/>
            <w:hideMark/>
          </w:tcPr>
          <w:p w14:paraId="3481EC9D"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15,6694</w:t>
            </w:r>
          </w:p>
        </w:tc>
      </w:tr>
      <w:tr w:rsidR="00A81A90" w:rsidRPr="00763CF7" w14:paraId="651D2D28"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1303DBAB" w14:textId="77777777" w:rsidR="00A81A90" w:rsidRPr="00763CF7" w:rsidRDefault="00A81A90" w:rsidP="00763CF7">
            <w:pPr>
              <w:rPr>
                <w:sz w:val="23"/>
                <w:szCs w:val="23"/>
              </w:rPr>
            </w:pPr>
            <w:r w:rsidRPr="00763CF7">
              <w:rPr>
                <w:sz w:val="23"/>
                <w:szCs w:val="23"/>
              </w:rPr>
              <w:t>Raíz unitaria estacional (2,4 meses por ciclo)</w:t>
            </w:r>
          </w:p>
        </w:tc>
        <w:tc>
          <w:tcPr>
            <w:tcW w:w="1971" w:type="dxa"/>
            <w:noWrap/>
            <w:hideMark/>
          </w:tcPr>
          <w:p w14:paraId="160EE48C"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0,0002</w:t>
            </w:r>
          </w:p>
        </w:tc>
        <w:tc>
          <w:tcPr>
            <w:tcW w:w="1270" w:type="dxa"/>
            <w:noWrap/>
            <w:hideMark/>
          </w:tcPr>
          <w:p w14:paraId="546295E4"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11,6597</w:t>
            </w:r>
          </w:p>
        </w:tc>
      </w:tr>
      <w:tr w:rsidR="00A81A90" w:rsidRPr="00763CF7" w14:paraId="10FBFD35"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2B5A55DD" w14:textId="77777777" w:rsidR="00A81A90" w:rsidRPr="00763CF7" w:rsidRDefault="00A81A90" w:rsidP="00763CF7">
            <w:pPr>
              <w:rPr>
                <w:sz w:val="23"/>
                <w:szCs w:val="23"/>
              </w:rPr>
            </w:pPr>
            <w:r w:rsidRPr="00763CF7">
              <w:rPr>
                <w:sz w:val="23"/>
                <w:szCs w:val="23"/>
              </w:rPr>
              <w:t>Raíz unitaria estacional (12 meses por ciclo)</w:t>
            </w:r>
          </w:p>
        </w:tc>
        <w:tc>
          <w:tcPr>
            <w:tcW w:w="1971" w:type="dxa"/>
            <w:noWrap/>
            <w:hideMark/>
          </w:tcPr>
          <w:p w14:paraId="439CBC34"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0,0000</w:t>
            </w:r>
          </w:p>
        </w:tc>
        <w:tc>
          <w:tcPr>
            <w:tcW w:w="1270" w:type="dxa"/>
            <w:noWrap/>
            <w:hideMark/>
          </w:tcPr>
          <w:p w14:paraId="6EECE437"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11,8977</w:t>
            </w:r>
          </w:p>
        </w:tc>
      </w:tr>
      <w:tr w:rsidR="00A81A90" w:rsidRPr="00763CF7" w14:paraId="7230D0F3"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2E2D8B09" w14:textId="77777777" w:rsidR="00A81A90" w:rsidRPr="00763CF7" w:rsidRDefault="00A81A90" w:rsidP="00763CF7">
            <w:pPr>
              <w:rPr>
                <w:sz w:val="23"/>
                <w:szCs w:val="23"/>
              </w:rPr>
            </w:pPr>
            <w:r w:rsidRPr="00763CF7">
              <w:rPr>
                <w:sz w:val="23"/>
                <w:szCs w:val="23"/>
              </w:rPr>
              <w:t>Raíz unitaria estacional (3 meses por ciclo)</w:t>
            </w:r>
          </w:p>
        </w:tc>
        <w:tc>
          <w:tcPr>
            <w:tcW w:w="1971" w:type="dxa"/>
            <w:noWrap/>
            <w:hideMark/>
          </w:tcPr>
          <w:p w14:paraId="243B9543"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0,0000</w:t>
            </w:r>
          </w:p>
        </w:tc>
        <w:tc>
          <w:tcPr>
            <w:tcW w:w="1270" w:type="dxa"/>
            <w:noWrap/>
            <w:hideMark/>
          </w:tcPr>
          <w:p w14:paraId="1CD9FFA3"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16,0660</w:t>
            </w:r>
          </w:p>
        </w:tc>
      </w:tr>
      <w:tr w:rsidR="00A81A90" w:rsidRPr="00763CF7" w14:paraId="62FB9B67"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55CCF815" w14:textId="77777777" w:rsidR="00A81A90" w:rsidRPr="00763CF7" w:rsidRDefault="00A81A90" w:rsidP="00763CF7">
            <w:pPr>
              <w:rPr>
                <w:sz w:val="23"/>
                <w:szCs w:val="23"/>
              </w:rPr>
            </w:pPr>
            <w:r w:rsidRPr="00763CF7">
              <w:rPr>
                <w:sz w:val="23"/>
                <w:szCs w:val="23"/>
              </w:rPr>
              <w:t>Raíz unitaria estacional (6 meses por ciclo)</w:t>
            </w:r>
          </w:p>
        </w:tc>
        <w:tc>
          <w:tcPr>
            <w:tcW w:w="1971" w:type="dxa"/>
            <w:noWrap/>
            <w:hideMark/>
          </w:tcPr>
          <w:p w14:paraId="33561692"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0,0000</w:t>
            </w:r>
          </w:p>
        </w:tc>
        <w:tc>
          <w:tcPr>
            <w:tcW w:w="1270" w:type="dxa"/>
            <w:noWrap/>
            <w:hideMark/>
          </w:tcPr>
          <w:p w14:paraId="08ACA9D2"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r w:rsidRPr="00763CF7">
              <w:rPr>
                <w:rFonts w:ascii="Calibri" w:hAnsi="Calibri" w:cs="Calibri"/>
                <w:color w:val="000000"/>
                <w:sz w:val="23"/>
                <w:szCs w:val="23"/>
              </w:rPr>
              <w:t>11,3150</w:t>
            </w:r>
          </w:p>
        </w:tc>
      </w:tr>
      <w:tr w:rsidR="00A81A90" w:rsidRPr="00763CF7" w14:paraId="2EABD11D" w14:textId="77777777" w:rsidTr="00A81A90">
        <w:trPr>
          <w:trHeight w:val="280"/>
          <w:jc w:val="center"/>
        </w:trPr>
        <w:tc>
          <w:tcPr>
            <w:cnfStyle w:val="001000000000" w:firstRow="0" w:lastRow="0" w:firstColumn="1" w:lastColumn="0" w:oddVBand="0" w:evenVBand="0" w:oddHBand="0" w:evenHBand="0" w:firstRowFirstColumn="0" w:firstRowLastColumn="0" w:lastRowFirstColumn="0" w:lastRowLastColumn="0"/>
            <w:tcW w:w="4581" w:type="dxa"/>
            <w:noWrap/>
            <w:hideMark/>
          </w:tcPr>
          <w:p w14:paraId="6985AE82" w14:textId="77777777" w:rsidR="00A81A90" w:rsidRPr="00763CF7" w:rsidRDefault="00A81A90" w:rsidP="00763CF7">
            <w:pPr>
              <w:rPr>
                <w:sz w:val="23"/>
                <w:szCs w:val="23"/>
              </w:rPr>
            </w:pPr>
            <w:r w:rsidRPr="00763CF7">
              <w:rPr>
                <w:sz w:val="23"/>
                <w:szCs w:val="23"/>
              </w:rPr>
              <w:t>* Simulaciones de Monte Carlo: 1000</w:t>
            </w:r>
          </w:p>
        </w:tc>
        <w:tc>
          <w:tcPr>
            <w:tcW w:w="1971" w:type="dxa"/>
            <w:noWrap/>
            <w:hideMark/>
          </w:tcPr>
          <w:p w14:paraId="4884A73D" w14:textId="77777777" w:rsidR="00A81A90" w:rsidRPr="00763CF7" w:rsidRDefault="00A81A90" w:rsidP="00A81A90">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3"/>
                <w:szCs w:val="23"/>
              </w:rPr>
            </w:pPr>
          </w:p>
        </w:tc>
        <w:tc>
          <w:tcPr>
            <w:tcW w:w="1270" w:type="dxa"/>
            <w:noWrap/>
            <w:hideMark/>
          </w:tcPr>
          <w:p w14:paraId="2410AC39" w14:textId="77777777" w:rsidR="00A81A90" w:rsidRPr="00763CF7" w:rsidRDefault="00A81A90" w:rsidP="00A81A90">
            <w:pPr>
              <w:cnfStyle w:val="000000000000" w:firstRow="0" w:lastRow="0" w:firstColumn="0" w:lastColumn="0" w:oddVBand="0" w:evenVBand="0" w:oddHBand="0" w:evenHBand="0" w:firstRowFirstColumn="0" w:firstRowLastColumn="0" w:lastRowFirstColumn="0" w:lastRowLastColumn="0"/>
              <w:rPr>
                <w:sz w:val="23"/>
                <w:szCs w:val="23"/>
              </w:rPr>
            </w:pPr>
          </w:p>
        </w:tc>
      </w:tr>
    </w:tbl>
    <w:p w14:paraId="1082072D" w14:textId="77777777" w:rsidR="00A81A90" w:rsidRPr="00A81A90" w:rsidRDefault="00A81A90" w:rsidP="00A81A90">
      <w:pPr>
        <w:jc w:val="center"/>
        <w:rPr>
          <w:i/>
          <w:iCs/>
          <w:color w:val="44546A" w:themeColor="text2"/>
          <w:sz w:val="18"/>
          <w:szCs w:val="18"/>
        </w:rPr>
      </w:pPr>
      <w:r w:rsidRPr="00A81A90">
        <w:rPr>
          <w:i/>
          <w:iCs/>
          <w:color w:val="44546A" w:themeColor="text2"/>
          <w:sz w:val="18"/>
          <w:szCs w:val="18"/>
        </w:rPr>
        <w:t>Fuente: Eviews 10                    Elaboración: Autores</w:t>
      </w:r>
    </w:p>
    <w:p w14:paraId="675A0151" w14:textId="77777777" w:rsidR="00A81A90" w:rsidRPr="00A81A90" w:rsidRDefault="00A81A90" w:rsidP="00A81A90"/>
    <w:p w14:paraId="02F17492" w14:textId="2BFDE726" w:rsidR="00A81A90" w:rsidRPr="00A81A90" w:rsidRDefault="00A81A90" w:rsidP="00CB2400">
      <w:r w:rsidRPr="00A81A90">
        <w:t xml:space="preserve">El test de HEGY se realiza mediante simulaciones de </w:t>
      </w:r>
      <w:r w:rsidR="00763CF7">
        <w:t>M</w:t>
      </w:r>
      <w:r w:rsidRPr="00A81A90">
        <w:t>onte Carlo y los rezagos son seleccionados por el criterio AIC, como se observa la hipótesis nula de raíz unitaria no estacional (frecuencia cero) se acepta, a diferencia del resto por lo que se puede destacar el hecho de que la serie no tiene una raíz unitaria estacional, entonces bastaría con diferenciarla una vez para transformarla en una serie estacionaria.</w:t>
      </w:r>
    </w:p>
    <w:p w14:paraId="0411A6FC" w14:textId="77777777" w:rsidR="00A81A90" w:rsidRPr="00A81A90" w:rsidRDefault="00A81A90" w:rsidP="00A81A90"/>
    <w:p w14:paraId="343FCFE4" w14:textId="04A0B533" w:rsidR="00A81A90" w:rsidRPr="00A81A90" w:rsidRDefault="00A81A90" w:rsidP="00CB2400">
      <w:r w:rsidRPr="00A81A90">
        <w:lastRenderedPageBreak/>
        <w:t xml:space="preserve">Sin embargo, con fines comparativos se realiza la estimación del modelo SARIMA, en primer lugar se obtiene una diferencia estacional, luego se realizan distintas pruebas de raíz unitaria a esta serie, comprobando que la serie es estacionaria, posteriormente se analiza el correlograma simple y parcial para decidir el número de autorregresivos y medias móviles del componente estacional, los resultados de estas pruebas y el correlograma se muestran </w:t>
      </w:r>
      <w:r w:rsidRPr="00775752">
        <w:t xml:space="preserve">en el anexo </w:t>
      </w:r>
      <w:r w:rsidR="00763CF7" w:rsidRPr="00775752">
        <w:t>1</w:t>
      </w:r>
      <w:r w:rsidRPr="00775752">
        <w:t>.</w:t>
      </w:r>
      <w:r w:rsidRPr="00A81A90">
        <w:t xml:space="preserve"> en base los criterios de información  de Akaike y Bayesiano se elige el modelo SARIMA que mejor se ajusta.</w:t>
      </w:r>
    </w:p>
    <w:p w14:paraId="0F172D19" w14:textId="77777777" w:rsidR="00A81A90" w:rsidRPr="00A81A90" w:rsidRDefault="00A81A90" w:rsidP="00A81A90"/>
    <w:p w14:paraId="0729C30F" w14:textId="376FA1B9" w:rsidR="00A81A90" w:rsidRPr="00A81A90" w:rsidRDefault="00A81A90" w:rsidP="00A81A90">
      <w:pPr>
        <w:pStyle w:val="Descripcin"/>
        <w:keepNext/>
        <w:jc w:val="center"/>
      </w:pPr>
      <w:r w:rsidRPr="00A81A90">
        <w:t xml:space="preserve">Tabla </w:t>
      </w:r>
      <w:r w:rsidRPr="00A81A90">
        <w:fldChar w:fldCharType="begin"/>
      </w:r>
      <w:r w:rsidRPr="00A81A90">
        <w:instrText xml:space="preserve"> SEQ Tabla \* ARABIC </w:instrText>
      </w:r>
      <w:r w:rsidRPr="00A81A90">
        <w:fldChar w:fldCharType="separate"/>
      </w:r>
      <w:r w:rsidR="00CB2400">
        <w:rPr>
          <w:noProof/>
        </w:rPr>
        <w:t>6</w:t>
      </w:r>
      <w:r w:rsidRPr="00A81A90">
        <w:rPr>
          <w:noProof/>
        </w:rPr>
        <w:fldChar w:fldCharType="end"/>
      </w:r>
      <w:r w:rsidRPr="00A81A90">
        <w:t>: Criterios de Información Estimación del modelo SARIMA</w:t>
      </w:r>
    </w:p>
    <w:tbl>
      <w:tblPr>
        <w:tblStyle w:val="TABLAAPA6TAED"/>
        <w:tblW w:w="6001" w:type="dxa"/>
        <w:jc w:val="center"/>
        <w:tblLook w:val="04A0" w:firstRow="1" w:lastRow="0" w:firstColumn="1" w:lastColumn="0" w:noHBand="0" w:noVBand="1"/>
      </w:tblPr>
      <w:tblGrid>
        <w:gridCol w:w="3001"/>
        <w:gridCol w:w="1500"/>
        <w:gridCol w:w="1500"/>
      </w:tblGrid>
      <w:tr w:rsidR="00A81A90" w:rsidRPr="00CB2400" w14:paraId="7B691B20" w14:textId="77777777" w:rsidTr="00A81A90">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001" w:type="dxa"/>
            <w:noWrap/>
            <w:hideMark/>
          </w:tcPr>
          <w:p w14:paraId="682CBD4C" w14:textId="77777777" w:rsidR="00A81A90" w:rsidRPr="00CB2400" w:rsidRDefault="00A81A90" w:rsidP="00CB2400">
            <w:pPr>
              <w:rPr>
                <w:sz w:val="22"/>
                <w:szCs w:val="20"/>
              </w:rPr>
            </w:pPr>
            <w:r w:rsidRPr="00CB2400">
              <w:rPr>
                <w:sz w:val="22"/>
                <w:szCs w:val="20"/>
              </w:rPr>
              <w:t>Modelos Estimados</w:t>
            </w:r>
          </w:p>
        </w:tc>
        <w:tc>
          <w:tcPr>
            <w:tcW w:w="1500" w:type="dxa"/>
            <w:noWrap/>
            <w:hideMark/>
          </w:tcPr>
          <w:p w14:paraId="17670090" w14:textId="77777777" w:rsidR="00A81A90" w:rsidRPr="00CB2400" w:rsidRDefault="00A81A90" w:rsidP="00CB2400">
            <w:pPr>
              <w:cnfStyle w:val="100000000000" w:firstRow="1" w:lastRow="0" w:firstColumn="0" w:lastColumn="0" w:oddVBand="0" w:evenVBand="0" w:oddHBand="0" w:evenHBand="0" w:firstRowFirstColumn="0" w:firstRowLastColumn="0" w:lastRowFirstColumn="0" w:lastRowLastColumn="0"/>
              <w:rPr>
                <w:sz w:val="22"/>
                <w:szCs w:val="20"/>
              </w:rPr>
            </w:pPr>
            <w:r w:rsidRPr="00CB2400">
              <w:rPr>
                <w:sz w:val="22"/>
                <w:szCs w:val="20"/>
              </w:rPr>
              <w:t>AIC</w:t>
            </w:r>
          </w:p>
        </w:tc>
        <w:tc>
          <w:tcPr>
            <w:tcW w:w="1500" w:type="dxa"/>
            <w:noWrap/>
            <w:hideMark/>
          </w:tcPr>
          <w:p w14:paraId="658D5E57" w14:textId="77777777" w:rsidR="00A81A90" w:rsidRPr="00CB2400" w:rsidRDefault="00A81A90" w:rsidP="00CB2400">
            <w:pPr>
              <w:cnfStyle w:val="100000000000" w:firstRow="1" w:lastRow="0" w:firstColumn="0" w:lastColumn="0" w:oddVBand="0" w:evenVBand="0" w:oddHBand="0" w:evenHBand="0" w:firstRowFirstColumn="0" w:firstRowLastColumn="0" w:lastRowFirstColumn="0" w:lastRowLastColumn="0"/>
              <w:rPr>
                <w:sz w:val="22"/>
                <w:szCs w:val="20"/>
              </w:rPr>
            </w:pPr>
            <w:r w:rsidRPr="00CB2400">
              <w:rPr>
                <w:sz w:val="22"/>
                <w:szCs w:val="20"/>
              </w:rPr>
              <w:t>BIC</w:t>
            </w:r>
          </w:p>
        </w:tc>
      </w:tr>
      <w:tr w:rsidR="00A81A90" w:rsidRPr="00CB2400" w14:paraId="33F541A2" w14:textId="77777777" w:rsidTr="00A81A90">
        <w:trPr>
          <w:trHeight w:val="283"/>
          <w:jc w:val="center"/>
        </w:trPr>
        <w:tc>
          <w:tcPr>
            <w:cnfStyle w:val="001000000000" w:firstRow="0" w:lastRow="0" w:firstColumn="1" w:lastColumn="0" w:oddVBand="0" w:evenVBand="0" w:oddHBand="0" w:evenHBand="0" w:firstRowFirstColumn="0" w:firstRowLastColumn="0" w:lastRowFirstColumn="0" w:lastRowLastColumn="0"/>
            <w:tcW w:w="3001" w:type="dxa"/>
            <w:noWrap/>
            <w:hideMark/>
          </w:tcPr>
          <w:p w14:paraId="0A428D92" w14:textId="77777777" w:rsidR="00A81A90" w:rsidRPr="00CB2400" w:rsidRDefault="00A81A90" w:rsidP="00CB2400">
            <w:pPr>
              <w:rPr>
                <w:sz w:val="22"/>
                <w:szCs w:val="20"/>
              </w:rPr>
            </w:pPr>
            <w:r w:rsidRPr="00CB2400">
              <w:rPr>
                <w:sz w:val="22"/>
                <w:szCs w:val="20"/>
              </w:rPr>
              <w:t>SARIMA (2,1,2) (1,1,1,12)</w:t>
            </w:r>
          </w:p>
        </w:tc>
        <w:tc>
          <w:tcPr>
            <w:tcW w:w="1500" w:type="dxa"/>
            <w:noWrap/>
            <w:hideMark/>
          </w:tcPr>
          <w:p w14:paraId="363DBFBB"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481,6</w:t>
            </w:r>
          </w:p>
        </w:tc>
        <w:tc>
          <w:tcPr>
            <w:tcW w:w="1500" w:type="dxa"/>
            <w:noWrap/>
            <w:hideMark/>
          </w:tcPr>
          <w:p w14:paraId="79F12A6B"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501,2</w:t>
            </w:r>
          </w:p>
        </w:tc>
      </w:tr>
      <w:tr w:rsidR="00A81A90" w:rsidRPr="00CB2400" w14:paraId="30CD8DEC" w14:textId="77777777" w:rsidTr="00A81A90">
        <w:trPr>
          <w:trHeight w:val="283"/>
          <w:jc w:val="center"/>
        </w:trPr>
        <w:tc>
          <w:tcPr>
            <w:cnfStyle w:val="001000000000" w:firstRow="0" w:lastRow="0" w:firstColumn="1" w:lastColumn="0" w:oddVBand="0" w:evenVBand="0" w:oddHBand="0" w:evenHBand="0" w:firstRowFirstColumn="0" w:firstRowLastColumn="0" w:lastRowFirstColumn="0" w:lastRowLastColumn="0"/>
            <w:tcW w:w="3001" w:type="dxa"/>
            <w:noWrap/>
            <w:hideMark/>
          </w:tcPr>
          <w:p w14:paraId="62E3B9F1" w14:textId="77777777" w:rsidR="00A81A90" w:rsidRPr="00CB2400" w:rsidRDefault="00A81A90" w:rsidP="00CB2400">
            <w:pPr>
              <w:rPr>
                <w:sz w:val="22"/>
                <w:szCs w:val="20"/>
              </w:rPr>
            </w:pPr>
            <w:r w:rsidRPr="00CB2400">
              <w:rPr>
                <w:sz w:val="22"/>
                <w:szCs w:val="20"/>
              </w:rPr>
              <w:t>SARIMA (2,1,2) (1,0,1,12)</w:t>
            </w:r>
          </w:p>
        </w:tc>
        <w:tc>
          <w:tcPr>
            <w:tcW w:w="1500" w:type="dxa"/>
            <w:noWrap/>
            <w:hideMark/>
          </w:tcPr>
          <w:p w14:paraId="55614770"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495,0</w:t>
            </w:r>
          </w:p>
        </w:tc>
        <w:tc>
          <w:tcPr>
            <w:tcW w:w="1500" w:type="dxa"/>
            <w:noWrap/>
            <w:hideMark/>
          </w:tcPr>
          <w:p w14:paraId="0FFE7B51" w14:textId="77777777" w:rsidR="00A81A90" w:rsidRPr="00CB2400" w:rsidRDefault="00A81A90" w:rsidP="00CB2400">
            <w:pPr>
              <w:cnfStyle w:val="000000000000" w:firstRow="0" w:lastRow="0" w:firstColumn="0" w:lastColumn="0" w:oddVBand="0" w:evenVBand="0" w:oddHBand="0" w:evenHBand="0" w:firstRowFirstColumn="0" w:firstRowLastColumn="0" w:lastRowFirstColumn="0" w:lastRowLastColumn="0"/>
              <w:rPr>
                <w:sz w:val="22"/>
                <w:szCs w:val="20"/>
              </w:rPr>
            </w:pPr>
            <w:r w:rsidRPr="00CB2400">
              <w:rPr>
                <w:sz w:val="22"/>
                <w:szCs w:val="20"/>
              </w:rPr>
              <w:t>515,2</w:t>
            </w:r>
          </w:p>
        </w:tc>
      </w:tr>
    </w:tbl>
    <w:p w14:paraId="58CA52C0" w14:textId="6838D8B7" w:rsidR="00A81A90" w:rsidRDefault="00A81A90" w:rsidP="00A81A90">
      <w:pPr>
        <w:jc w:val="center"/>
        <w:rPr>
          <w:i/>
          <w:iCs/>
          <w:color w:val="44546A" w:themeColor="text2"/>
          <w:sz w:val="18"/>
          <w:szCs w:val="18"/>
        </w:rPr>
      </w:pPr>
      <w:r w:rsidRPr="00A81A90">
        <w:rPr>
          <w:i/>
          <w:iCs/>
          <w:color w:val="44546A" w:themeColor="text2"/>
          <w:sz w:val="18"/>
          <w:szCs w:val="18"/>
        </w:rPr>
        <w:t>Elaboración: Autores</w:t>
      </w:r>
    </w:p>
    <w:p w14:paraId="67DECAFB" w14:textId="77777777" w:rsidR="00CB2400" w:rsidRPr="00A81A90" w:rsidRDefault="00CB2400" w:rsidP="00A81A90">
      <w:pPr>
        <w:jc w:val="center"/>
        <w:rPr>
          <w:i/>
          <w:iCs/>
          <w:color w:val="44546A" w:themeColor="text2"/>
          <w:sz w:val="18"/>
          <w:szCs w:val="18"/>
        </w:rPr>
      </w:pPr>
    </w:p>
    <w:p w14:paraId="64D57C8B" w14:textId="4A66E07D" w:rsidR="00A81A90" w:rsidRPr="00A81A90" w:rsidRDefault="00A81A90" w:rsidP="00A81A90">
      <w:r w:rsidRPr="00A81A90">
        <w:t xml:space="preserve">Como se puede observar en la tabla </w:t>
      </w:r>
      <w:r w:rsidR="00763CF7">
        <w:t>6</w:t>
      </w:r>
      <w:r w:rsidRPr="00A81A90">
        <w:t xml:space="preserve">, el modelo SARIMA que mejor se ajusta es un modelo de orden </w:t>
      </w:r>
      <m:oMath>
        <m:r>
          <w:rPr>
            <w:rFonts w:ascii="Cambria Math" w:hAnsi="Cambria Math"/>
          </w:rPr>
          <m:t>p=2</m:t>
        </m:r>
      </m:oMath>
      <w:r w:rsidRPr="00A81A90">
        <w:t xml:space="preserve">, </w:t>
      </w:r>
      <m:oMath>
        <m:r>
          <w:rPr>
            <w:rFonts w:ascii="Cambria Math" w:hAnsi="Cambria Math"/>
          </w:rPr>
          <m:t>d=1</m:t>
        </m:r>
      </m:oMath>
      <w:r w:rsidRPr="00A81A90">
        <w:t xml:space="preserve">, </w:t>
      </w:r>
      <m:oMath>
        <m:r>
          <w:rPr>
            <w:rFonts w:ascii="Cambria Math" w:hAnsi="Cambria Math"/>
          </w:rPr>
          <m:t>q=2</m:t>
        </m:r>
      </m:oMath>
      <w:r w:rsidRPr="00A81A90">
        <w:t xml:space="preserve">, </w:t>
      </w:r>
      <m:oMath>
        <m:r>
          <w:rPr>
            <w:rFonts w:ascii="Cambria Math" w:hAnsi="Cambria Math"/>
          </w:rPr>
          <m:t>P=1</m:t>
        </m:r>
      </m:oMath>
      <w:r w:rsidRPr="00A81A90">
        <w:t xml:space="preserve">, </w:t>
      </w:r>
      <m:oMath>
        <m:r>
          <w:rPr>
            <w:rFonts w:ascii="Cambria Math" w:hAnsi="Cambria Math"/>
          </w:rPr>
          <m:t>D=1</m:t>
        </m:r>
      </m:oMath>
      <w:r w:rsidRPr="00A81A90">
        <w:t xml:space="preserve">, </w:t>
      </w:r>
      <m:oMath>
        <m:r>
          <w:rPr>
            <w:rFonts w:ascii="Cambria Math" w:hAnsi="Cambria Math"/>
          </w:rPr>
          <m:t>Q=1</m:t>
        </m:r>
      </m:oMath>
      <w:r w:rsidRPr="00A81A90">
        <w:t xml:space="preserve">, y </w:t>
      </w:r>
      <m:oMath>
        <m:r>
          <w:rPr>
            <w:rFonts w:ascii="Cambria Math" w:hAnsi="Cambria Math"/>
          </w:rPr>
          <m:t>S=12</m:t>
        </m:r>
      </m:oMath>
      <w:r w:rsidRPr="00A81A90">
        <w:t>.</w:t>
      </w:r>
    </w:p>
    <w:p w14:paraId="6D17D6CE" w14:textId="77777777" w:rsidR="00A81A90" w:rsidRPr="00A81A90" w:rsidRDefault="00A81A90" w:rsidP="00A81A90"/>
    <w:p w14:paraId="469895C5" w14:textId="77777777" w:rsidR="00A81A90" w:rsidRPr="00A81A90" w:rsidRDefault="00A81A90" w:rsidP="00A81A90">
      <w:r w:rsidRPr="00A81A90">
        <w:t xml:space="preserve">El resultado de la estimación del modelo SARIMA </w:t>
      </w:r>
      <m:oMath>
        <m:d>
          <m:dPr>
            <m:ctrlPr>
              <w:rPr>
                <w:rFonts w:ascii="Cambria Math" w:hAnsi="Cambria Math"/>
                <w:i/>
              </w:rPr>
            </m:ctrlPr>
          </m:dPr>
          <m:e>
            <m:r>
              <w:rPr>
                <w:rFonts w:ascii="Cambria Math" w:hAnsi="Cambria Math"/>
              </w:rPr>
              <m:t>2,1,2</m:t>
            </m:r>
          </m:e>
        </m:d>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1,1,1</m:t>
                </m:r>
              </m:e>
            </m:d>
          </m:e>
          <m:sub>
            <m:r>
              <w:rPr>
                <w:rFonts w:ascii="Cambria Math" w:hAnsi="Cambria Math"/>
              </w:rPr>
              <m:t>12</m:t>
            </m:r>
          </m:sub>
        </m:sSub>
      </m:oMath>
      <w:r w:rsidRPr="00A81A90">
        <w:t xml:space="preserve"> se muestra a continuación.</w:t>
      </w:r>
    </w:p>
    <w:p w14:paraId="66B686FF" w14:textId="77777777" w:rsidR="00A81A90" w:rsidRPr="00A81A90" w:rsidRDefault="00A81A90" w:rsidP="00A81A90"/>
    <w:p w14:paraId="0365DC14" w14:textId="7FB3FE81" w:rsidR="00A81A90" w:rsidRPr="00A81A90" w:rsidRDefault="00A81A90" w:rsidP="00A81A90">
      <w:pPr>
        <w:pStyle w:val="Descripcin"/>
        <w:keepNext/>
        <w:jc w:val="center"/>
      </w:pPr>
      <w:r w:rsidRPr="00A81A90">
        <w:t xml:space="preserve">Tabla </w:t>
      </w:r>
      <w:r w:rsidRPr="00A81A90">
        <w:fldChar w:fldCharType="begin"/>
      </w:r>
      <w:r w:rsidRPr="00A81A90">
        <w:instrText xml:space="preserve"> SEQ Tabla \* ARABIC </w:instrText>
      </w:r>
      <w:r w:rsidRPr="00A81A90">
        <w:fldChar w:fldCharType="separate"/>
      </w:r>
      <w:r w:rsidR="00CB2400">
        <w:rPr>
          <w:noProof/>
        </w:rPr>
        <w:t>7</w:t>
      </w:r>
      <w:r w:rsidRPr="00A81A90">
        <w:rPr>
          <w:noProof/>
        </w:rPr>
        <w:fldChar w:fldCharType="end"/>
      </w:r>
      <w:r w:rsidRPr="00A81A90">
        <w:t>: Estimación final de los parámetros</w:t>
      </w:r>
      <w:r w:rsidR="00763CF7">
        <w:t xml:space="preserve"> modelo SARIMA</w:t>
      </w:r>
    </w:p>
    <w:tbl>
      <w:tblPr>
        <w:tblStyle w:val="TABLAAPA6TAED"/>
        <w:tblW w:w="9129" w:type="dxa"/>
        <w:tblLook w:val="04A0" w:firstRow="1" w:lastRow="0" w:firstColumn="1" w:lastColumn="0" w:noHBand="0" w:noVBand="1"/>
      </w:tblPr>
      <w:tblGrid>
        <w:gridCol w:w="1488"/>
        <w:gridCol w:w="1106"/>
        <w:gridCol w:w="1124"/>
        <w:gridCol w:w="1124"/>
        <w:gridCol w:w="1198"/>
        <w:gridCol w:w="1124"/>
        <w:gridCol w:w="1124"/>
        <w:gridCol w:w="1125"/>
      </w:tblGrid>
      <w:tr w:rsidR="00A81A90" w:rsidRPr="00A81A90" w14:paraId="7F7F114A" w14:textId="77777777" w:rsidTr="00A81A9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04" w:type="dxa"/>
            <w:noWrap/>
            <w:hideMark/>
          </w:tcPr>
          <w:p w14:paraId="75B88CE8" w14:textId="77777777" w:rsidR="00A81A90" w:rsidRPr="00A81A90" w:rsidRDefault="00A81A90" w:rsidP="00A81A90">
            <w:pPr>
              <w:jc w:val="center"/>
              <w:rPr>
                <w:rFonts w:ascii="Calibri" w:hAnsi="Calibri" w:cs="Calibri"/>
                <w:b/>
                <w:bCs/>
                <w:color w:val="000000"/>
                <w:sz w:val="22"/>
              </w:rPr>
            </w:pPr>
            <w:r w:rsidRPr="00A81A90">
              <w:rPr>
                <w:rFonts w:ascii="Calibri" w:hAnsi="Calibri" w:cs="Calibri"/>
                <w:b/>
                <w:bCs/>
                <w:color w:val="000000"/>
                <w:sz w:val="22"/>
              </w:rPr>
              <w:t>DS12.close</w:t>
            </w:r>
          </w:p>
        </w:tc>
        <w:tc>
          <w:tcPr>
            <w:tcW w:w="1106" w:type="dxa"/>
            <w:noWrap/>
            <w:hideMark/>
          </w:tcPr>
          <w:p w14:paraId="44028F7A"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Tipo</w:t>
            </w:r>
          </w:p>
        </w:tc>
        <w:tc>
          <w:tcPr>
            <w:tcW w:w="1124" w:type="dxa"/>
            <w:noWrap/>
            <w:hideMark/>
          </w:tcPr>
          <w:p w14:paraId="31470414"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Coef</w:t>
            </w:r>
          </w:p>
        </w:tc>
        <w:tc>
          <w:tcPr>
            <w:tcW w:w="1124" w:type="dxa"/>
            <w:noWrap/>
            <w:hideMark/>
          </w:tcPr>
          <w:p w14:paraId="0C74350E"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Err, Estándar</w:t>
            </w:r>
          </w:p>
        </w:tc>
        <w:tc>
          <w:tcPr>
            <w:tcW w:w="1198" w:type="dxa"/>
            <w:noWrap/>
            <w:hideMark/>
          </w:tcPr>
          <w:p w14:paraId="61241FFE"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z</w:t>
            </w:r>
          </w:p>
        </w:tc>
        <w:tc>
          <w:tcPr>
            <w:tcW w:w="1124" w:type="dxa"/>
            <w:noWrap/>
            <w:hideMark/>
          </w:tcPr>
          <w:p w14:paraId="41EC3F2C"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P&gt;|z|</w:t>
            </w:r>
          </w:p>
        </w:tc>
        <w:tc>
          <w:tcPr>
            <w:tcW w:w="2249" w:type="dxa"/>
            <w:gridSpan w:val="2"/>
            <w:noWrap/>
            <w:hideMark/>
          </w:tcPr>
          <w:p w14:paraId="1F40440B"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[95% Intervalo de Confianza]</w:t>
            </w:r>
          </w:p>
        </w:tc>
      </w:tr>
      <w:tr w:rsidR="00A81A90" w:rsidRPr="00A81A90" w14:paraId="6EF429ED" w14:textId="77777777" w:rsidTr="00A81A90">
        <w:trPr>
          <w:trHeight w:val="271"/>
        </w:trPr>
        <w:tc>
          <w:tcPr>
            <w:cnfStyle w:val="001000000000" w:firstRow="0" w:lastRow="0" w:firstColumn="1" w:lastColumn="0" w:oddVBand="0" w:evenVBand="0" w:oddHBand="0" w:evenHBand="0" w:firstRowFirstColumn="0" w:firstRowLastColumn="0" w:lastRowFirstColumn="0" w:lastRowLastColumn="0"/>
            <w:tcW w:w="1204" w:type="dxa"/>
            <w:vMerge w:val="restart"/>
            <w:noWrap/>
            <w:hideMark/>
          </w:tcPr>
          <w:p w14:paraId="48C74608" w14:textId="77777777" w:rsidR="00A81A90" w:rsidRPr="00A81A90" w:rsidRDefault="00A81A90" w:rsidP="00A81A90">
            <w:pPr>
              <w:jc w:val="center"/>
              <w:rPr>
                <w:rFonts w:ascii="Calibri" w:hAnsi="Calibri" w:cs="Calibri"/>
                <w:color w:val="000000"/>
                <w:sz w:val="22"/>
              </w:rPr>
            </w:pPr>
            <w:r w:rsidRPr="00A81A90">
              <w:rPr>
                <w:rFonts w:ascii="Calibri" w:hAnsi="Calibri" w:cs="Calibri"/>
                <w:color w:val="000000"/>
                <w:sz w:val="22"/>
              </w:rPr>
              <w:t>ARMA</w:t>
            </w:r>
          </w:p>
        </w:tc>
        <w:tc>
          <w:tcPr>
            <w:tcW w:w="1106" w:type="dxa"/>
            <w:noWrap/>
            <w:hideMark/>
          </w:tcPr>
          <w:p w14:paraId="1FD68E61"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AR 1</w:t>
            </w:r>
          </w:p>
        </w:tc>
        <w:tc>
          <w:tcPr>
            <w:tcW w:w="1124" w:type="dxa"/>
            <w:noWrap/>
            <w:hideMark/>
          </w:tcPr>
          <w:p w14:paraId="0520E12E"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-0,554</w:t>
            </w:r>
          </w:p>
        </w:tc>
        <w:tc>
          <w:tcPr>
            <w:tcW w:w="1124" w:type="dxa"/>
            <w:noWrap/>
            <w:hideMark/>
          </w:tcPr>
          <w:p w14:paraId="596B4F31"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0,041</w:t>
            </w:r>
          </w:p>
        </w:tc>
        <w:tc>
          <w:tcPr>
            <w:tcW w:w="1198" w:type="dxa"/>
            <w:noWrap/>
            <w:hideMark/>
          </w:tcPr>
          <w:p w14:paraId="04C9EE76"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-13,450</w:t>
            </w:r>
          </w:p>
        </w:tc>
        <w:tc>
          <w:tcPr>
            <w:tcW w:w="1124" w:type="dxa"/>
            <w:noWrap/>
            <w:hideMark/>
          </w:tcPr>
          <w:p w14:paraId="51CDC84F"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0,000</w:t>
            </w:r>
          </w:p>
        </w:tc>
        <w:tc>
          <w:tcPr>
            <w:tcW w:w="1124" w:type="dxa"/>
            <w:noWrap/>
            <w:hideMark/>
          </w:tcPr>
          <w:p w14:paraId="5E8A5551"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-0,635</w:t>
            </w:r>
          </w:p>
        </w:tc>
        <w:tc>
          <w:tcPr>
            <w:tcW w:w="1125" w:type="dxa"/>
            <w:noWrap/>
            <w:hideMark/>
          </w:tcPr>
          <w:p w14:paraId="7BF7DD5D"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-0,474</w:t>
            </w:r>
          </w:p>
        </w:tc>
      </w:tr>
      <w:tr w:rsidR="00A81A90" w:rsidRPr="00A81A90" w14:paraId="37094D2C" w14:textId="77777777" w:rsidTr="00A81A90">
        <w:trPr>
          <w:trHeight w:val="271"/>
        </w:trPr>
        <w:tc>
          <w:tcPr>
            <w:cnfStyle w:val="001000000000" w:firstRow="0" w:lastRow="0" w:firstColumn="1" w:lastColumn="0" w:oddVBand="0" w:evenVBand="0" w:oddHBand="0" w:evenHBand="0" w:firstRowFirstColumn="0" w:firstRowLastColumn="0" w:lastRowFirstColumn="0" w:lastRowLastColumn="0"/>
            <w:tcW w:w="1204" w:type="dxa"/>
            <w:vMerge/>
            <w:hideMark/>
          </w:tcPr>
          <w:p w14:paraId="27F94DBA" w14:textId="77777777" w:rsidR="00A81A90" w:rsidRPr="00A81A90" w:rsidRDefault="00A81A90" w:rsidP="00A81A90">
            <w:pPr>
              <w:rPr>
                <w:rFonts w:ascii="Calibri" w:hAnsi="Calibri" w:cs="Calibri"/>
                <w:color w:val="000000"/>
                <w:sz w:val="22"/>
              </w:rPr>
            </w:pPr>
          </w:p>
        </w:tc>
        <w:tc>
          <w:tcPr>
            <w:tcW w:w="1106" w:type="dxa"/>
            <w:noWrap/>
            <w:hideMark/>
          </w:tcPr>
          <w:p w14:paraId="2227B050"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AR 2</w:t>
            </w:r>
          </w:p>
        </w:tc>
        <w:tc>
          <w:tcPr>
            <w:tcW w:w="1124" w:type="dxa"/>
            <w:noWrap/>
            <w:hideMark/>
          </w:tcPr>
          <w:p w14:paraId="67A3BB6F"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-0,983</w:t>
            </w:r>
          </w:p>
        </w:tc>
        <w:tc>
          <w:tcPr>
            <w:tcW w:w="1124" w:type="dxa"/>
            <w:noWrap/>
            <w:hideMark/>
          </w:tcPr>
          <w:p w14:paraId="0F5A9161"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0,042</w:t>
            </w:r>
          </w:p>
        </w:tc>
        <w:tc>
          <w:tcPr>
            <w:tcW w:w="1198" w:type="dxa"/>
            <w:noWrap/>
            <w:hideMark/>
          </w:tcPr>
          <w:p w14:paraId="2087F9FA"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-23,380</w:t>
            </w:r>
          </w:p>
        </w:tc>
        <w:tc>
          <w:tcPr>
            <w:tcW w:w="1124" w:type="dxa"/>
            <w:noWrap/>
            <w:hideMark/>
          </w:tcPr>
          <w:p w14:paraId="1B8DA717"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0,000</w:t>
            </w:r>
          </w:p>
        </w:tc>
        <w:tc>
          <w:tcPr>
            <w:tcW w:w="1124" w:type="dxa"/>
            <w:noWrap/>
            <w:hideMark/>
          </w:tcPr>
          <w:p w14:paraId="244FEAD5"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-1,065</w:t>
            </w:r>
          </w:p>
        </w:tc>
        <w:tc>
          <w:tcPr>
            <w:tcW w:w="1125" w:type="dxa"/>
            <w:noWrap/>
            <w:hideMark/>
          </w:tcPr>
          <w:p w14:paraId="28F0C02D"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-0,901</w:t>
            </w:r>
          </w:p>
        </w:tc>
      </w:tr>
      <w:tr w:rsidR="00A81A90" w:rsidRPr="00A81A90" w14:paraId="170DFAB1" w14:textId="77777777" w:rsidTr="00A81A90">
        <w:trPr>
          <w:trHeight w:val="271"/>
        </w:trPr>
        <w:tc>
          <w:tcPr>
            <w:cnfStyle w:val="001000000000" w:firstRow="0" w:lastRow="0" w:firstColumn="1" w:lastColumn="0" w:oddVBand="0" w:evenVBand="0" w:oddHBand="0" w:evenHBand="0" w:firstRowFirstColumn="0" w:firstRowLastColumn="0" w:lastRowFirstColumn="0" w:lastRowLastColumn="0"/>
            <w:tcW w:w="1204" w:type="dxa"/>
            <w:vMerge/>
            <w:hideMark/>
          </w:tcPr>
          <w:p w14:paraId="7AE26E1E" w14:textId="77777777" w:rsidR="00A81A90" w:rsidRPr="00A81A90" w:rsidRDefault="00A81A90" w:rsidP="00A81A90">
            <w:pPr>
              <w:rPr>
                <w:rFonts w:ascii="Calibri" w:hAnsi="Calibri" w:cs="Calibri"/>
                <w:color w:val="000000"/>
                <w:sz w:val="22"/>
              </w:rPr>
            </w:pPr>
          </w:p>
        </w:tc>
        <w:tc>
          <w:tcPr>
            <w:tcW w:w="1106" w:type="dxa"/>
            <w:noWrap/>
            <w:hideMark/>
          </w:tcPr>
          <w:p w14:paraId="5BA76CA2"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MA 1</w:t>
            </w:r>
          </w:p>
        </w:tc>
        <w:tc>
          <w:tcPr>
            <w:tcW w:w="1124" w:type="dxa"/>
            <w:noWrap/>
            <w:hideMark/>
          </w:tcPr>
          <w:p w14:paraId="40FF66E2"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0,590</w:t>
            </w:r>
          </w:p>
        </w:tc>
        <w:tc>
          <w:tcPr>
            <w:tcW w:w="1124" w:type="dxa"/>
            <w:noWrap/>
            <w:hideMark/>
          </w:tcPr>
          <w:p w14:paraId="211AB263"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0,069</w:t>
            </w:r>
          </w:p>
        </w:tc>
        <w:tc>
          <w:tcPr>
            <w:tcW w:w="1198" w:type="dxa"/>
            <w:noWrap/>
            <w:hideMark/>
          </w:tcPr>
          <w:p w14:paraId="183A41FB"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8,550</w:t>
            </w:r>
          </w:p>
        </w:tc>
        <w:tc>
          <w:tcPr>
            <w:tcW w:w="1124" w:type="dxa"/>
            <w:noWrap/>
            <w:hideMark/>
          </w:tcPr>
          <w:p w14:paraId="0E01EEA3"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0,000</w:t>
            </w:r>
          </w:p>
        </w:tc>
        <w:tc>
          <w:tcPr>
            <w:tcW w:w="1124" w:type="dxa"/>
            <w:noWrap/>
            <w:hideMark/>
          </w:tcPr>
          <w:p w14:paraId="7B2C9C62"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0,455</w:t>
            </w:r>
          </w:p>
        </w:tc>
        <w:tc>
          <w:tcPr>
            <w:tcW w:w="1125" w:type="dxa"/>
            <w:noWrap/>
            <w:hideMark/>
          </w:tcPr>
          <w:p w14:paraId="79784C24"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0,725</w:t>
            </w:r>
          </w:p>
        </w:tc>
      </w:tr>
      <w:tr w:rsidR="00A81A90" w:rsidRPr="00A81A90" w14:paraId="119E50CC" w14:textId="77777777" w:rsidTr="00A81A90">
        <w:trPr>
          <w:trHeight w:val="271"/>
        </w:trPr>
        <w:tc>
          <w:tcPr>
            <w:cnfStyle w:val="001000000000" w:firstRow="0" w:lastRow="0" w:firstColumn="1" w:lastColumn="0" w:oddVBand="0" w:evenVBand="0" w:oddHBand="0" w:evenHBand="0" w:firstRowFirstColumn="0" w:firstRowLastColumn="0" w:lastRowFirstColumn="0" w:lastRowLastColumn="0"/>
            <w:tcW w:w="1204" w:type="dxa"/>
            <w:vMerge/>
            <w:hideMark/>
          </w:tcPr>
          <w:p w14:paraId="0E570449" w14:textId="77777777" w:rsidR="00A81A90" w:rsidRPr="00A81A90" w:rsidRDefault="00A81A90" w:rsidP="00A81A90">
            <w:pPr>
              <w:rPr>
                <w:rFonts w:ascii="Calibri" w:hAnsi="Calibri" w:cs="Calibri"/>
                <w:color w:val="000000"/>
                <w:sz w:val="22"/>
              </w:rPr>
            </w:pPr>
          </w:p>
        </w:tc>
        <w:tc>
          <w:tcPr>
            <w:tcW w:w="1106" w:type="dxa"/>
            <w:noWrap/>
            <w:hideMark/>
          </w:tcPr>
          <w:p w14:paraId="3B4C2FE6"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MA 2</w:t>
            </w:r>
          </w:p>
        </w:tc>
        <w:tc>
          <w:tcPr>
            <w:tcW w:w="1124" w:type="dxa"/>
            <w:noWrap/>
            <w:hideMark/>
          </w:tcPr>
          <w:p w14:paraId="74D65A0D"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0,924</w:t>
            </w:r>
          </w:p>
        </w:tc>
        <w:tc>
          <w:tcPr>
            <w:tcW w:w="1124" w:type="dxa"/>
            <w:noWrap/>
            <w:hideMark/>
          </w:tcPr>
          <w:p w14:paraId="5E499A35"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0,076</w:t>
            </w:r>
          </w:p>
        </w:tc>
        <w:tc>
          <w:tcPr>
            <w:tcW w:w="1198" w:type="dxa"/>
            <w:noWrap/>
            <w:hideMark/>
          </w:tcPr>
          <w:p w14:paraId="48ADDC43"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12,230</w:t>
            </w:r>
          </w:p>
        </w:tc>
        <w:tc>
          <w:tcPr>
            <w:tcW w:w="1124" w:type="dxa"/>
            <w:noWrap/>
            <w:hideMark/>
          </w:tcPr>
          <w:p w14:paraId="50E7DD97"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0,000</w:t>
            </w:r>
          </w:p>
        </w:tc>
        <w:tc>
          <w:tcPr>
            <w:tcW w:w="1124" w:type="dxa"/>
            <w:noWrap/>
            <w:hideMark/>
          </w:tcPr>
          <w:p w14:paraId="6A2CCF3B"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0,776</w:t>
            </w:r>
          </w:p>
        </w:tc>
        <w:tc>
          <w:tcPr>
            <w:tcW w:w="1125" w:type="dxa"/>
            <w:noWrap/>
            <w:hideMark/>
          </w:tcPr>
          <w:p w14:paraId="5417016B"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1,072</w:t>
            </w:r>
          </w:p>
        </w:tc>
      </w:tr>
      <w:tr w:rsidR="00A81A90" w:rsidRPr="00A81A90" w14:paraId="01B5E9E7" w14:textId="77777777" w:rsidTr="00A81A90">
        <w:trPr>
          <w:trHeight w:val="271"/>
        </w:trPr>
        <w:tc>
          <w:tcPr>
            <w:cnfStyle w:val="001000000000" w:firstRow="0" w:lastRow="0" w:firstColumn="1" w:lastColumn="0" w:oddVBand="0" w:evenVBand="0" w:oddHBand="0" w:evenHBand="0" w:firstRowFirstColumn="0" w:firstRowLastColumn="0" w:lastRowFirstColumn="0" w:lastRowLastColumn="0"/>
            <w:tcW w:w="1204" w:type="dxa"/>
            <w:vMerge w:val="restart"/>
            <w:noWrap/>
            <w:hideMark/>
          </w:tcPr>
          <w:p w14:paraId="018E5D4F" w14:textId="77777777" w:rsidR="00A81A90" w:rsidRPr="00A81A90" w:rsidRDefault="00A81A90" w:rsidP="00A81A90">
            <w:pPr>
              <w:jc w:val="center"/>
              <w:rPr>
                <w:rFonts w:ascii="Calibri" w:hAnsi="Calibri" w:cs="Calibri"/>
                <w:color w:val="000000"/>
                <w:sz w:val="22"/>
              </w:rPr>
            </w:pPr>
            <w:r w:rsidRPr="00A81A90">
              <w:rPr>
                <w:rFonts w:ascii="Calibri" w:hAnsi="Calibri" w:cs="Calibri"/>
                <w:color w:val="000000"/>
                <w:sz w:val="22"/>
              </w:rPr>
              <w:t>ARMA 12</w:t>
            </w:r>
          </w:p>
        </w:tc>
        <w:tc>
          <w:tcPr>
            <w:tcW w:w="1106" w:type="dxa"/>
            <w:noWrap/>
            <w:hideMark/>
          </w:tcPr>
          <w:p w14:paraId="4D9E3FD8"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SAR1</w:t>
            </w:r>
          </w:p>
        </w:tc>
        <w:tc>
          <w:tcPr>
            <w:tcW w:w="1124" w:type="dxa"/>
            <w:noWrap/>
            <w:hideMark/>
          </w:tcPr>
          <w:p w14:paraId="4B041863"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-0,159</w:t>
            </w:r>
          </w:p>
        </w:tc>
        <w:tc>
          <w:tcPr>
            <w:tcW w:w="1124" w:type="dxa"/>
            <w:noWrap/>
            <w:hideMark/>
          </w:tcPr>
          <w:p w14:paraId="772867E0"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0,143</w:t>
            </w:r>
          </w:p>
        </w:tc>
        <w:tc>
          <w:tcPr>
            <w:tcW w:w="1198" w:type="dxa"/>
            <w:noWrap/>
            <w:hideMark/>
          </w:tcPr>
          <w:p w14:paraId="6425FB60"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-1,110</w:t>
            </w:r>
          </w:p>
        </w:tc>
        <w:tc>
          <w:tcPr>
            <w:tcW w:w="1124" w:type="dxa"/>
            <w:noWrap/>
            <w:hideMark/>
          </w:tcPr>
          <w:p w14:paraId="20298D95"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0,268</w:t>
            </w:r>
          </w:p>
        </w:tc>
        <w:tc>
          <w:tcPr>
            <w:tcW w:w="1124" w:type="dxa"/>
            <w:noWrap/>
            <w:hideMark/>
          </w:tcPr>
          <w:p w14:paraId="752962B2"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-0,440</w:t>
            </w:r>
          </w:p>
        </w:tc>
        <w:tc>
          <w:tcPr>
            <w:tcW w:w="1125" w:type="dxa"/>
            <w:noWrap/>
            <w:hideMark/>
          </w:tcPr>
          <w:p w14:paraId="4FBC3123"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0,122</w:t>
            </w:r>
          </w:p>
        </w:tc>
      </w:tr>
      <w:tr w:rsidR="00A81A90" w:rsidRPr="00A81A90" w14:paraId="6A5BBD57" w14:textId="77777777" w:rsidTr="00A81A90">
        <w:trPr>
          <w:trHeight w:val="271"/>
        </w:trPr>
        <w:tc>
          <w:tcPr>
            <w:cnfStyle w:val="001000000000" w:firstRow="0" w:lastRow="0" w:firstColumn="1" w:lastColumn="0" w:oddVBand="0" w:evenVBand="0" w:oddHBand="0" w:evenHBand="0" w:firstRowFirstColumn="0" w:firstRowLastColumn="0" w:lastRowFirstColumn="0" w:lastRowLastColumn="0"/>
            <w:tcW w:w="1204" w:type="dxa"/>
            <w:vMerge/>
            <w:tcBorders>
              <w:bottom w:val="single" w:sz="4" w:space="0" w:color="auto"/>
            </w:tcBorders>
            <w:hideMark/>
          </w:tcPr>
          <w:p w14:paraId="3ADB02C2" w14:textId="77777777" w:rsidR="00A81A90" w:rsidRPr="00A81A90" w:rsidRDefault="00A81A90" w:rsidP="00A81A90">
            <w:pPr>
              <w:rPr>
                <w:rFonts w:ascii="Calibri" w:hAnsi="Calibri" w:cs="Calibri"/>
                <w:color w:val="000000"/>
                <w:sz w:val="22"/>
              </w:rPr>
            </w:pPr>
          </w:p>
        </w:tc>
        <w:tc>
          <w:tcPr>
            <w:tcW w:w="1106" w:type="dxa"/>
            <w:tcBorders>
              <w:bottom w:val="single" w:sz="4" w:space="0" w:color="auto"/>
            </w:tcBorders>
            <w:noWrap/>
            <w:hideMark/>
          </w:tcPr>
          <w:p w14:paraId="7F059D06"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SMA 1</w:t>
            </w:r>
          </w:p>
        </w:tc>
        <w:tc>
          <w:tcPr>
            <w:tcW w:w="1124" w:type="dxa"/>
            <w:tcBorders>
              <w:bottom w:val="single" w:sz="4" w:space="0" w:color="auto"/>
            </w:tcBorders>
            <w:noWrap/>
            <w:hideMark/>
          </w:tcPr>
          <w:p w14:paraId="1565EA24"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-0,759</w:t>
            </w:r>
          </w:p>
        </w:tc>
        <w:tc>
          <w:tcPr>
            <w:tcW w:w="1124" w:type="dxa"/>
            <w:tcBorders>
              <w:bottom w:val="single" w:sz="4" w:space="0" w:color="auto"/>
            </w:tcBorders>
            <w:noWrap/>
            <w:hideMark/>
          </w:tcPr>
          <w:p w14:paraId="01D41D68"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0,149</w:t>
            </w:r>
          </w:p>
        </w:tc>
        <w:tc>
          <w:tcPr>
            <w:tcW w:w="1198" w:type="dxa"/>
            <w:tcBorders>
              <w:bottom w:val="single" w:sz="4" w:space="0" w:color="auto"/>
            </w:tcBorders>
            <w:noWrap/>
            <w:hideMark/>
          </w:tcPr>
          <w:p w14:paraId="4178C658"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-5,090</w:t>
            </w:r>
          </w:p>
        </w:tc>
        <w:tc>
          <w:tcPr>
            <w:tcW w:w="1124" w:type="dxa"/>
            <w:tcBorders>
              <w:bottom w:val="single" w:sz="4" w:space="0" w:color="auto"/>
            </w:tcBorders>
            <w:noWrap/>
            <w:hideMark/>
          </w:tcPr>
          <w:p w14:paraId="515DF436"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0,000</w:t>
            </w:r>
          </w:p>
        </w:tc>
        <w:tc>
          <w:tcPr>
            <w:tcW w:w="1124" w:type="dxa"/>
            <w:tcBorders>
              <w:bottom w:val="single" w:sz="4" w:space="0" w:color="auto"/>
            </w:tcBorders>
            <w:noWrap/>
            <w:hideMark/>
          </w:tcPr>
          <w:p w14:paraId="1C6EAF16"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-1,051</w:t>
            </w:r>
          </w:p>
        </w:tc>
        <w:tc>
          <w:tcPr>
            <w:tcW w:w="1125" w:type="dxa"/>
            <w:tcBorders>
              <w:bottom w:val="single" w:sz="4" w:space="0" w:color="auto"/>
            </w:tcBorders>
            <w:noWrap/>
            <w:hideMark/>
          </w:tcPr>
          <w:p w14:paraId="5D3F8EF2"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-0,466</w:t>
            </w:r>
          </w:p>
        </w:tc>
      </w:tr>
      <w:tr w:rsidR="00A81A90" w:rsidRPr="00A81A90" w14:paraId="0090EEC5" w14:textId="77777777" w:rsidTr="00A81A90">
        <w:trPr>
          <w:trHeight w:val="271"/>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bottom w:val="single" w:sz="4" w:space="0" w:color="auto"/>
            </w:tcBorders>
            <w:noWrap/>
            <w:hideMark/>
          </w:tcPr>
          <w:p w14:paraId="5C7BB43B" w14:textId="77777777" w:rsidR="00A81A90" w:rsidRPr="00A81A90" w:rsidRDefault="00A81A90" w:rsidP="00A81A90">
            <w:pPr>
              <w:jc w:val="center"/>
              <w:rPr>
                <w:rFonts w:ascii="Calibri" w:hAnsi="Calibri" w:cs="Calibri"/>
                <w:color w:val="000000"/>
                <w:sz w:val="22"/>
              </w:rPr>
            </w:pPr>
            <w:r w:rsidRPr="00A81A90">
              <w:rPr>
                <w:rFonts w:ascii="Calibri" w:hAnsi="Calibri" w:cs="Calibri"/>
                <w:color w:val="000000"/>
                <w:sz w:val="22"/>
              </w:rPr>
              <w:t>sigma</w:t>
            </w:r>
          </w:p>
        </w:tc>
        <w:tc>
          <w:tcPr>
            <w:tcW w:w="1106" w:type="dxa"/>
            <w:tcBorders>
              <w:top w:val="single" w:sz="4" w:space="0" w:color="auto"/>
              <w:bottom w:val="single" w:sz="4" w:space="0" w:color="auto"/>
            </w:tcBorders>
            <w:noWrap/>
            <w:hideMark/>
          </w:tcPr>
          <w:p w14:paraId="10BE1E6B"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p>
        </w:tc>
        <w:tc>
          <w:tcPr>
            <w:tcW w:w="1124" w:type="dxa"/>
            <w:tcBorders>
              <w:top w:val="single" w:sz="4" w:space="0" w:color="auto"/>
              <w:bottom w:val="single" w:sz="4" w:space="0" w:color="auto"/>
            </w:tcBorders>
            <w:noWrap/>
            <w:hideMark/>
          </w:tcPr>
          <w:p w14:paraId="68A1A052"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1,565</w:t>
            </w:r>
          </w:p>
        </w:tc>
        <w:tc>
          <w:tcPr>
            <w:tcW w:w="1124" w:type="dxa"/>
            <w:tcBorders>
              <w:top w:val="single" w:sz="4" w:space="0" w:color="auto"/>
              <w:bottom w:val="single" w:sz="4" w:space="0" w:color="auto"/>
            </w:tcBorders>
            <w:noWrap/>
            <w:hideMark/>
          </w:tcPr>
          <w:p w14:paraId="1B906580"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0,115</w:t>
            </w:r>
          </w:p>
        </w:tc>
        <w:tc>
          <w:tcPr>
            <w:tcW w:w="1198" w:type="dxa"/>
            <w:tcBorders>
              <w:top w:val="single" w:sz="4" w:space="0" w:color="auto"/>
              <w:bottom w:val="single" w:sz="4" w:space="0" w:color="auto"/>
            </w:tcBorders>
            <w:noWrap/>
            <w:hideMark/>
          </w:tcPr>
          <w:p w14:paraId="0D928EB5"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13,630</w:t>
            </w:r>
          </w:p>
        </w:tc>
        <w:tc>
          <w:tcPr>
            <w:tcW w:w="1124" w:type="dxa"/>
            <w:tcBorders>
              <w:top w:val="single" w:sz="4" w:space="0" w:color="auto"/>
              <w:bottom w:val="single" w:sz="4" w:space="0" w:color="auto"/>
            </w:tcBorders>
            <w:noWrap/>
            <w:hideMark/>
          </w:tcPr>
          <w:p w14:paraId="4A7979DD"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0,000</w:t>
            </w:r>
          </w:p>
        </w:tc>
        <w:tc>
          <w:tcPr>
            <w:tcW w:w="1124" w:type="dxa"/>
            <w:tcBorders>
              <w:top w:val="single" w:sz="4" w:space="0" w:color="auto"/>
              <w:bottom w:val="single" w:sz="4" w:space="0" w:color="auto"/>
            </w:tcBorders>
            <w:noWrap/>
            <w:hideMark/>
          </w:tcPr>
          <w:p w14:paraId="3144F165"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1,340</w:t>
            </w:r>
          </w:p>
        </w:tc>
        <w:tc>
          <w:tcPr>
            <w:tcW w:w="1125" w:type="dxa"/>
            <w:tcBorders>
              <w:top w:val="single" w:sz="4" w:space="0" w:color="auto"/>
              <w:bottom w:val="single" w:sz="4" w:space="0" w:color="auto"/>
            </w:tcBorders>
            <w:noWrap/>
            <w:hideMark/>
          </w:tcPr>
          <w:p w14:paraId="3CED8EED"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1,790</w:t>
            </w:r>
          </w:p>
        </w:tc>
      </w:tr>
    </w:tbl>
    <w:p w14:paraId="5324B8C8" w14:textId="77777777" w:rsidR="00A81A90" w:rsidRPr="00A81A90" w:rsidRDefault="00A81A90" w:rsidP="00A81A90">
      <w:pPr>
        <w:jc w:val="center"/>
        <w:rPr>
          <w:i/>
          <w:iCs/>
          <w:color w:val="44546A" w:themeColor="text2"/>
          <w:sz w:val="18"/>
          <w:szCs w:val="18"/>
        </w:rPr>
      </w:pPr>
      <w:r w:rsidRPr="00A81A90">
        <w:rPr>
          <w:i/>
          <w:iCs/>
          <w:color w:val="44546A" w:themeColor="text2"/>
          <w:sz w:val="18"/>
          <w:szCs w:val="18"/>
        </w:rPr>
        <w:t>Elaboración: Autores</w:t>
      </w:r>
    </w:p>
    <w:p w14:paraId="42D1B9DB" w14:textId="77777777" w:rsidR="00A81A90" w:rsidRPr="00A81A90" w:rsidRDefault="00A81A90" w:rsidP="00A81A90"/>
    <w:p w14:paraId="02D3ECC4" w14:textId="5A203FFA" w:rsidR="00A81A90" w:rsidRPr="00A81A90" w:rsidRDefault="00A81A90" w:rsidP="00A81A90">
      <w:r w:rsidRPr="00A81A90">
        <w:t xml:space="preserve">Una vez estimado el modelo para validarlo se realiza la prueba de Portmanteau para ruido blanco de los errores, el modelo es válido debido a que se acepta la hipótesis nula </w:t>
      </w:r>
      <w:r w:rsidRPr="00A81A90">
        <w:lastRenderedPageBreak/>
        <w:t xml:space="preserve">de que los errores son ruido blanco, </w:t>
      </w:r>
      <w:r w:rsidRPr="00775752">
        <w:t xml:space="preserve">además el correlograma simple y parcial de los errores muestran que la serie es estacionaria. </w:t>
      </w:r>
      <w:r w:rsidR="00763CF7" w:rsidRPr="00775752">
        <w:t>V</w:t>
      </w:r>
      <w:r w:rsidRPr="00775752">
        <w:t xml:space="preserve">er anexo </w:t>
      </w:r>
      <w:r w:rsidR="00763CF7" w:rsidRPr="00775752">
        <w:t>2</w:t>
      </w:r>
      <w:r w:rsidRPr="00775752">
        <w:t>.</w:t>
      </w:r>
      <w:r w:rsidRPr="00A81A90">
        <w:t xml:space="preserve">  </w:t>
      </w:r>
    </w:p>
    <w:p w14:paraId="172EC564" w14:textId="77777777" w:rsidR="00A81A90" w:rsidRPr="00A81A90" w:rsidRDefault="00A81A90" w:rsidP="00A81A90"/>
    <w:p w14:paraId="78574AEB" w14:textId="77777777" w:rsidR="00A81A90" w:rsidRPr="00A81A90" w:rsidRDefault="00A81A90" w:rsidP="00A81A90">
      <w:pPr>
        <w:keepNext/>
        <w:jc w:val="center"/>
      </w:pPr>
      <w:r w:rsidRPr="00A81A90">
        <w:rPr>
          <w:noProof/>
        </w:rPr>
        <w:drawing>
          <wp:inline distT="0" distB="0" distL="0" distR="0" wp14:anchorId="04F6728C" wp14:editId="129EAC3F">
            <wp:extent cx="4181475" cy="3043378"/>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9412" cy="3049155"/>
                    </a:xfrm>
                    <a:prstGeom prst="rect">
                      <a:avLst/>
                    </a:prstGeom>
                    <a:noFill/>
                    <a:ln>
                      <a:noFill/>
                    </a:ln>
                  </pic:spPr>
                </pic:pic>
              </a:graphicData>
            </a:graphic>
          </wp:inline>
        </w:drawing>
      </w:r>
    </w:p>
    <w:p w14:paraId="47E2160D" w14:textId="3FF5B375" w:rsidR="00A81A90" w:rsidRPr="00A81A90" w:rsidRDefault="00A81A90" w:rsidP="00A81A90">
      <w:pPr>
        <w:pStyle w:val="Descripcin"/>
        <w:ind w:left="1440" w:firstLine="0"/>
      </w:pPr>
      <w:r w:rsidRPr="00A81A90">
        <w:t xml:space="preserve">         Ilustración </w:t>
      </w:r>
      <w:r w:rsidRPr="00A81A90">
        <w:fldChar w:fldCharType="begin"/>
      </w:r>
      <w:r w:rsidRPr="00A81A90">
        <w:instrText xml:space="preserve"> SEQ Ilustración \* ARABIC </w:instrText>
      </w:r>
      <w:r w:rsidRPr="00A81A90">
        <w:fldChar w:fldCharType="separate"/>
      </w:r>
      <w:r w:rsidR="00CB2400">
        <w:rPr>
          <w:noProof/>
        </w:rPr>
        <w:t>9</w:t>
      </w:r>
      <w:r w:rsidRPr="00A81A90">
        <w:rPr>
          <w:noProof/>
        </w:rPr>
        <w:fldChar w:fldCharType="end"/>
      </w:r>
      <w:r w:rsidRPr="00A81A90">
        <w:t>: Periodograma acumulativo prueba de ruido blanco</w:t>
      </w:r>
    </w:p>
    <w:p w14:paraId="4774D427" w14:textId="77777777" w:rsidR="00A81A90" w:rsidRPr="00A81A90" w:rsidRDefault="00A81A90" w:rsidP="00A81A90"/>
    <w:p w14:paraId="67FBB76E" w14:textId="341D6517" w:rsidR="00A81A90" w:rsidRPr="00A81A90" w:rsidRDefault="00763CF7" w:rsidP="00A81A90">
      <w:r>
        <w:t>La ilustración 9 representa el</w:t>
      </w:r>
      <w:r w:rsidR="00A81A90" w:rsidRPr="00A81A90">
        <w:t xml:space="preserve"> periodograma acumulativo para la prueba de ruido blanco de los errores del modelo SARIM</w:t>
      </w:r>
      <w:r>
        <w:t>, esta</w:t>
      </w:r>
      <w:r w:rsidRPr="00A81A90">
        <w:t xml:space="preserve"> muestra</w:t>
      </w:r>
      <w:r w:rsidR="00A81A90" w:rsidRPr="00A81A90">
        <w:t xml:space="preserve"> que</w:t>
      </w:r>
      <w:r>
        <w:t xml:space="preserve"> los errores</w:t>
      </w:r>
      <w:r w:rsidR="00A81A90" w:rsidRPr="00A81A90">
        <w:t xml:space="preserve"> son ruido blanco. </w:t>
      </w:r>
    </w:p>
    <w:p w14:paraId="3EB8D9F1" w14:textId="77777777" w:rsidR="00A81A90" w:rsidRPr="00A81A90" w:rsidRDefault="00A81A90" w:rsidP="00A81A90"/>
    <w:p w14:paraId="548DCA5E" w14:textId="1E0A676F" w:rsidR="00A81A90" w:rsidRDefault="00A81A90" w:rsidP="00A81A90">
      <w:r w:rsidRPr="00A81A90">
        <w:t>Posteriormente se realiza el pronóstico seis meses adelante con el modelo seleccionado.</w:t>
      </w:r>
    </w:p>
    <w:p w14:paraId="102ECDFE" w14:textId="77777777" w:rsidR="00763CF7" w:rsidRPr="00A81A90" w:rsidRDefault="00763CF7" w:rsidP="00A81A90"/>
    <w:p w14:paraId="5E994D7D" w14:textId="77777777" w:rsidR="00A81A90" w:rsidRPr="00A81A90" w:rsidRDefault="00A81A90" w:rsidP="00A81A90">
      <w:pPr>
        <w:keepNext/>
        <w:jc w:val="center"/>
      </w:pPr>
      <w:r w:rsidRPr="00A81A90">
        <w:rPr>
          <w:noProof/>
        </w:rPr>
        <w:lastRenderedPageBreak/>
        <w:drawing>
          <wp:inline distT="0" distB="0" distL="0" distR="0" wp14:anchorId="5B26F4AC" wp14:editId="7B1791AF">
            <wp:extent cx="4143375" cy="30156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54952" cy="3024075"/>
                    </a:xfrm>
                    <a:prstGeom prst="rect">
                      <a:avLst/>
                    </a:prstGeom>
                    <a:noFill/>
                    <a:ln>
                      <a:noFill/>
                    </a:ln>
                  </pic:spPr>
                </pic:pic>
              </a:graphicData>
            </a:graphic>
          </wp:inline>
        </w:drawing>
      </w:r>
    </w:p>
    <w:p w14:paraId="3A3EB058" w14:textId="3301392F" w:rsidR="00A81A90" w:rsidRDefault="00A81A90" w:rsidP="00A81A90">
      <w:pPr>
        <w:pStyle w:val="Descripcin"/>
        <w:jc w:val="center"/>
      </w:pPr>
      <w:r w:rsidRPr="00A81A90">
        <w:t xml:space="preserve">Ilustración </w:t>
      </w:r>
      <w:r w:rsidRPr="00A81A90">
        <w:fldChar w:fldCharType="begin"/>
      </w:r>
      <w:r w:rsidRPr="00A81A90">
        <w:instrText xml:space="preserve"> SEQ Ilustración \* ARABIC </w:instrText>
      </w:r>
      <w:r w:rsidRPr="00A81A90">
        <w:fldChar w:fldCharType="separate"/>
      </w:r>
      <w:r w:rsidR="00CB2400">
        <w:rPr>
          <w:noProof/>
        </w:rPr>
        <w:t>10</w:t>
      </w:r>
      <w:r w:rsidRPr="00A81A90">
        <w:rPr>
          <w:noProof/>
        </w:rPr>
        <w:fldChar w:fldCharType="end"/>
      </w:r>
      <w:r w:rsidRPr="00A81A90">
        <w:t>: Pronóstico de la serie CLOSE (2010.Enero - 2021-</w:t>
      </w:r>
      <w:r w:rsidR="00775752">
        <w:t>Agosto</w:t>
      </w:r>
      <w:r w:rsidRPr="00A81A90">
        <w:t>)</w:t>
      </w:r>
      <w:r w:rsidR="00775752">
        <w:t xml:space="preserve"> modelo SARIMA</w:t>
      </w:r>
    </w:p>
    <w:p w14:paraId="034EEA90" w14:textId="77777777" w:rsidR="00763CF7" w:rsidRPr="00763CF7" w:rsidRDefault="00763CF7" w:rsidP="00763CF7"/>
    <w:p w14:paraId="11FFE415" w14:textId="7CE3D2F2" w:rsidR="00A81A90" w:rsidRPr="00A81A90" w:rsidRDefault="00A81A90" w:rsidP="00A81A90">
      <w:r w:rsidRPr="00A81A90">
        <w:t>El ajuste del modelo es bueno y el pronóstico muestra que el precio rondará entre los $</w:t>
      </w:r>
      <w:r w:rsidR="00763CF7">
        <w:t xml:space="preserve"> </w:t>
      </w:r>
      <w:r w:rsidRPr="00A81A90">
        <w:t>36 y $</w:t>
      </w:r>
      <w:r w:rsidR="00763CF7">
        <w:t xml:space="preserve"> </w:t>
      </w:r>
      <w:r w:rsidRPr="00A81A90">
        <w:t>38 por acción en los próximos 6 meses (Marzo-Agosto) del año 2021.</w:t>
      </w:r>
    </w:p>
    <w:p w14:paraId="20DDB161" w14:textId="77777777" w:rsidR="00A81A90" w:rsidRPr="00A81A90" w:rsidRDefault="00A81A90" w:rsidP="00A81A90"/>
    <w:p w14:paraId="73EA8F1B" w14:textId="77777777" w:rsidR="00A81A90" w:rsidRPr="00A81A90" w:rsidRDefault="00A81A90" w:rsidP="00763CF7">
      <w:r w:rsidRPr="00A81A90">
        <w:t>Finalmente se presenta la evaluación de la calidad de pronóstico para los modelos ARIMA y SARIMA estimados para lo cual se utilizan criterios como el error cuadrático medio (RMSE), el error absoluto medio (MAE), error porcentual absoluto medio (MAPE) y U de Theil.</w:t>
      </w:r>
    </w:p>
    <w:p w14:paraId="56FD90D5" w14:textId="4EFFAD62" w:rsidR="00A81A90" w:rsidRPr="00A81A90" w:rsidRDefault="00A81A90" w:rsidP="00A81A90">
      <w:pPr>
        <w:pStyle w:val="Descripcin"/>
        <w:keepNext/>
        <w:jc w:val="center"/>
      </w:pPr>
      <w:r w:rsidRPr="00A81A90">
        <w:t xml:space="preserve">Tabla </w:t>
      </w:r>
      <w:r w:rsidRPr="00A81A90">
        <w:fldChar w:fldCharType="begin"/>
      </w:r>
      <w:r w:rsidRPr="00A81A90">
        <w:instrText xml:space="preserve"> SEQ Tabla \* ARABIC </w:instrText>
      </w:r>
      <w:r w:rsidRPr="00A81A90">
        <w:fldChar w:fldCharType="separate"/>
      </w:r>
      <w:r w:rsidR="00CB2400">
        <w:rPr>
          <w:noProof/>
        </w:rPr>
        <w:t>8</w:t>
      </w:r>
      <w:r w:rsidRPr="00A81A90">
        <w:rPr>
          <w:noProof/>
        </w:rPr>
        <w:fldChar w:fldCharType="end"/>
      </w:r>
      <w:r w:rsidRPr="00A81A90">
        <w:t>: Criterios de evaluación de pronóstico</w:t>
      </w:r>
    </w:p>
    <w:tbl>
      <w:tblPr>
        <w:tblStyle w:val="TABLAAPA6TAED"/>
        <w:tblW w:w="6000" w:type="dxa"/>
        <w:jc w:val="center"/>
        <w:tblLook w:val="04A0" w:firstRow="1" w:lastRow="0" w:firstColumn="1" w:lastColumn="0" w:noHBand="0" w:noVBand="1"/>
      </w:tblPr>
      <w:tblGrid>
        <w:gridCol w:w="1246"/>
        <w:gridCol w:w="1200"/>
        <w:gridCol w:w="1200"/>
        <w:gridCol w:w="1200"/>
        <w:gridCol w:w="1200"/>
      </w:tblGrid>
      <w:tr w:rsidR="00A81A90" w:rsidRPr="00A81A90" w14:paraId="12A6EA45" w14:textId="77777777" w:rsidTr="00A81A9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8AA3284" w14:textId="77777777" w:rsidR="00A81A90" w:rsidRPr="00A81A90" w:rsidRDefault="00A81A90" w:rsidP="00A81A90">
            <w:pPr>
              <w:jc w:val="center"/>
              <w:rPr>
                <w:rFonts w:ascii="Calibri" w:hAnsi="Calibri" w:cs="Calibri"/>
                <w:b/>
                <w:bCs/>
                <w:color w:val="000000"/>
                <w:sz w:val="22"/>
              </w:rPr>
            </w:pPr>
            <w:r w:rsidRPr="00A81A90">
              <w:rPr>
                <w:rFonts w:ascii="Calibri" w:hAnsi="Calibri" w:cs="Calibri"/>
                <w:b/>
                <w:bCs/>
                <w:color w:val="000000"/>
                <w:sz w:val="22"/>
              </w:rPr>
              <w:t>Modelo</w:t>
            </w:r>
          </w:p>
        </w:tc>
        <w:tc>
          <w:tcPr>
            <w:tcW w:w="1200" w:type="dxa"/>
            <w:noWrap/>
            <w:hideMark/>
          </w:tcPr>
          <w:p w14:paraId="1460C474"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RMSE</w:t>
            </w:r>
          </w:p>
        </w:tc>
        <w:tc>
          <w:tcPr>
            <w:tcW w:w="1200" w:type="dxa"/>
            <w:noWrap/>
            <w:hideMark/>
          </w:tcPr>
          <w:p w14:paraId="5F5D4917"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MAE</w:t>
            </w:r>
          </w:p>
        </w:tc>
        <w:tc>
          <w:tcPr>
            <w:tcW w:w="1200" w:type="dxa"/>
            <w:noWrap/>
            <w:hideMark/>
          </w:tcPr>
          <w:p w14:paraId="18C9E4FA"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THEIL´S U</w:t>
            </w:r>
          </w:p>
        </w:tc>
        <w:tc>
          <w:tcPr>
            <w:tcW w:w="1200" w:type="dxa"/>
            <w:noWrap/>
            <w:hideMark/>
          </w:tcPr>
          <w:p w14:paraId="14621AB2" w14:textId="77777777" w:rsidR="00A81A90" w:rsidRPr="00A81A90" w:rsidRDefault="00A81A90" w:rsidP="00A81A90">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rPr>
            </w:pPr>
            <w:r w:rsidRPr="00A81A90">
              <w:rPr>
                <w:rFonts w:ascii="Calibri" w:hAnsi="Calibri" w:cs="Calibri"/>
                <w:b/>
                <w:bCs/>
                <w:color w:val="000000"/>
                <w:sz w:val="22"/>
              </w:rPr>
              <w:t>MAPE</w:t>
            </w:r>
          </w:p>
        </w:tc>
      </w:tr>
      <w:tr w:rsidR="00A81A90" w:rsidRPr="00A81A90" w14:paraId="35A87F7F" w14:textId="77777777" w:rsidTr="00A81A90">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876171C" w14:textId="77777777" w:rsidR="00A81A90" w:rsidRPr="00A81A90" w:rsidRDefault="00A81A90" w:rsidP="00A81A90">
            <w:pPr>
              <w:jc w:val="center"/>
              <w:rPr>
                <w:rFonts w:ascii="Calibri" w:hAnsi="Calibri" w:cs="Calibri"/>
                <w:b/>
                <w:bCs/>
                <w:color w:val="000000"/>
                <w:sz w:val="22"/>
              </w:rPr>
            </w:pPr>
            <w:r w:rsidRPr="00A81A90">
              <w:rPr>
                <w:rFonts w:ascii="Calibri" w:hAnsi="Calibri" w:cs="Calibri"/>
                <w:b/>
                <w:bCs/>
                <w:color w:val="000000"/>
                <w:sz w:val="22"/>
              </w:rPr>
              <w:t>ARIMA</w:t>
            </w:r>
          </w:p>
        </w:tc>
        <w:tc>
          <w:tcPr>
            <w:tcW w:w="1200" w:type="dxa"/>
            <w:noWrap/>
            <w:hideMark/>
          </w:tcPr>
          <w:p w14:paraId="55614FEF"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1,4908</w:t>
            </w:r>
          </w:p>
        </w:tc>
        <w:tc>
          <w:tcPr>
            <w:tcW w:w="1200" w:type="dxa"/>
            <w:noWrap/>
            <w:hideMark/>
          </w:tcPr>
          <w:p w14:paraId="11445799"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1,1363</w:t>
            </w:r>
          </w:p>
        </w:tc>
        <w:tc>
          <w:tcPr>
            <w:tcW w:w="1200" w:type="dxa"/>
            <w:noWrap/>
            <w:hideMark/>
          </w:tcPr>
          <w:p w14:paraId="05E13EE9"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0,9478</w:t>
            </w:r>
          </w:p>
        </w:tc>
        <w:tc>
          <w:tcPr>
            <w:tcW w:w="1200" w:type="dxa"/>
            <w:noWrap/>
            <w:hideMark/>
          </w:tcPr>
          <w:p w14:paraId="2D371835"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0,0395</w:t>
            </w:r>
          </w:p>
        </w:tc>
      </w:tr>
      <w:tr w:rsidR="00A81A90" w:rsidRPr="00A81A90" w14:paraId="7B5F4E2C" w14:textId="77777777" w:rsidTr="00A81A90">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C30079A" w14:textId="77777777" w:rsidR="00A81A90" w:rsidRPr="00A81A90" w:rsidRDefault="00A81A90" w:rsidP="00A81A90">
            <w:pPr>
              <w:jc w:val="center"/>
              <w:rPr>
                <w:rFonts w:ascii="Calibri" w:hAnsi="Calibri" w:cs="Calibri"/>
                <w:b/>
                <w:bCs/>
                <w:color w:val="000000"/>
                <w:sz w:val="22"/>
              </w:rPr>
            </w:pPr>
            <w:r w:rsidRPr="00A81A90">
              <w:rPr>
                <w:rFonts w:ascii="Calibri" w:hAnsi="Calibri" w:cs="Calibri"/>
                <w:b/>
                <w:bCs/>
                <w:color w:val="000000"/>
                <w:sz w:val="22"/>
              </w:rPr>
              <w:t>SARIMA</w:t>
            </w:r>
          </w:p>
        </w:tc>
        <w:tc>
          <w:tcPr>
            <w:tcW w:w="1200" w:type="dxa"/>
            <w:noWrap/>
            <w:hideMark/>
          </w:tcPr>
          <w:p w14:paraId="79A057F6"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1,6330</w:t>
            </w:r>
          </w:p>
        </w:tc>
        <w:tc>
          <w:tcPr>
            <w:tcW w:w="1200" w:type="dxa"/>
            <w:noWrap/>
            <w:hideMark/>
          </w:tcPr>
          <w:p w14:paraId="175B8157"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1,3163</w:t>
            </w:r>
          </w:p>
        </w:tc>
        <w:tc>
          <w:tcPr>
            <w:tcW w:w="1200" w:type="dxa"/>
            <w:noWrap/>
            <w:hideMark/>
          </w:tcPr>
          <w:p w14:paraId="2C7D9B95"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1,0485</w:t>
            </w:r>
          </w:p>
        </w:tc>
        <w:tc>
          <w:tcPr>
            <w:tcW w:w="1200" w:type="dxa"/>
            <w:noWrap/>
            <w:hideMark/>
          </w:tcPr>
          <w:p w14:paraId="69C666B6" w14:textId="77777777" w:rsidR="00A81A90" w:rsidRPr="00A81A90" w:rsidRDefault="00A81A90" w:rsidP="00A81A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A81A90">
              <w:rPr>
                <w:rFonts w:ascii="Calibri" w:hAnsi="Calibri" w:cs="Calibri"/>
                <w:color w:val="000000"/>
                <w:sz w:val="22"/>
              </w:rPr>
              <w:t>0,0443</w:t>
            </w:r>
          </w:p>
        </w:tc>
      </w:tr>
    </w:tbl>
    <w:p w14:paraId="1246EA12" w14:textId="50FB817C" w:rsidR="00A81A90" w:rsidRDefault="00A81A90" w:rsidP="00A81A90">
      <w:pPr>
        <w:jc w:val="center"/>
        <w:rPr>
          <w:i/>
          <w:iCs/>
          <w:color w:val="44546A" w:themeColor="text2"/>
          <w:sz w:val="18"/>
          <w:szCs w:val="18"/>
        </w:rPr>
      </w:pPr>
      <w:r w:rsidRPr="00A81A90">
        <w:rPr>
          <w:i/>
          <w:iCs/>
          <w:color w:val="44546A" w:themeColor="text2"/>
          <w:sz w:val="18"/>
          <w:szCs w:val="18"/>
        </w:rPr>
        <w:t>Elaboración: Autores</w:t>
      </w:r>
    </w:p>
    <w:p w14:paraId="020E4094" w14:textId="7D2A4018" w:rsidR="00A81A90" w:rsidRDefault="00A81A90" w:rsidP="00763CF7">
      <w:r w:rsidRPr="00A81A90">
        <w:t xml:space="preserve">En base a los criterios presentados </w:t>
      </w:r>
      <w:r w:rsidR="001F02C9">
        <w:t>se concluye</w:t>
      </w:r>
      <w:r w:rsidRPr="00A81A90">
        <w:t xml:space="preserve"> que el modelo ARIMA es mejor que el SARIMA ya que el valor de los coeficientes es menor para este. Esto era de esperarse debido a que la serie de tiempo de los precios de las acciones de Pfizer Inc. no presentaba una claro comportamiento estacional.</w:t>
      </w:r>
    </w:p>
    <w:p w14:paraId="5821300D" w14:textId="77777777" w:rsidR="001F02C9" w:rsidRPr="00A81A90" w:rsidRDefault="001F02C9" w:rsidP="00763CF7"/>
    <w:p w14:paraId="66996EAA" w14:textId="43F7870C" w:rsidR="00A81A90" w:rsidRPr="00775752" w:rsidRDefault="00775752" w:rsidP="00775752">
      <w:pPr>
        <w:pStyle w:val="Ttulo1"/>
      </w:pPr>
      <w:r w:rsidRPr="00775752">
        <w:lastRenderedPageBreak/>
        <w:t xml:space="preserve">DISCUSIÓN </w:t>
      </w:r>
      <w:r w:rsidR="001F02C9">
        <w:t>Y CONCLUSIONES</w:t>
      </w:r>
    </w:p>
    <w:p w14:paraId="25DF7D39" w14:textId="761155F1" w:rsidR="001F02C9" w:rsidRDefault="001F02C9" w:rsidP="001F02C9">
      <w:r w:rsidRPr="001F02C9">
        <w:t>El presente estudio pronostica el precio de cierre de la acción de la empresa norteamericana Pfizer Inc para los siguientes seis meses del período 2021 (corto plazo)</w:t>
      </w:r>
      <w:r>
        <w:t>. Basado en los criterios de la evaluación de la calidad de pronóstico el modelo ARIMA</w:t>
      </w:r>
      <w:r w:rsidR="00AD29AD">
        <w:t xml:space="preserve"> tiene una calidad de ajuste </w:t>
      </w:r>
      <w:r w:rsidRPr="001F02C9">
        <w:t>débil</w:t>
      </w:r>
      <w:r w:rsidR="00AD29AD">
        <w:t xml:space="preserve">, </w:t>
      </w:r>
      <w:r w:rsidRPr="001F02C9">
        <w:t>por lo que el comportamiento de esta variable podría seguir la teoría de caminata aleatoria dado que el aspecto de la pandemia y la efectividad de la vacuna genera incertidumbre.</w:t>
      </w:r>
    </w:p>
    <w:p w14:paraId="603D8F0A" w14:textId="77777777" w:rsidR="001F02C9" w:rsidRPr="001F02C9" w:rsidRDefault="001F02C9" w:rsidP="001F02C9"/>
    <w:p w14:paraId="09D3AFE1" w14:textId="09663CD3" w:rsidR="001F02C9" w:rsidRDefault="001F02C9" w:rsidP="001F02C9">
      <w:r w:rsidRPr="001F02C9">
        <w:t xml:space="preserve"> Por su parte, según el pronóstico, la variable de interés </w:t>
      </w:r>
      <w:r w:rsidR="00AD29AD">
        <w:t xml:space="preserve">(precio de cierre) </w:t>
      </w:r>
      <w:r w:rsidRPr="001F02C9">
        <w:t>de esta compañía tenderá a aumentar con un precio máximo de $38.26 por acción en junio; en relación a los primeros meses del presente año; lo cual puede deberse a factores internos como el éxito en la fabricación masiva y venta de vacunas anticovid así como factores externos tales como expectativas positivas de gobiernos, inversiones y agentes económicos, tal como sucedió en noviembre del 2020.</w:t>
      </w:r>
    </w:p>
    <w:p w14:paraId="445C90AA" w14:textId="77777777" w:rsidR="001F02C9" w:rsidRPr="001F02C9" w:rsidRDefault="001F02C9" w:rsidP="001F02C9"/>
    <w:p w14:paraId="1B52EC5F" w14:textId="31725ADD" w:rsidR="00A81A90" w:rsidRDefault="001F02C9" w:rsidP="001F02C9">
      <w:r w:rsidRPr="001F02C9">
        <w:t xml:space="preserve"> </w:t>
      </w:r>
      <w:r w:rsidRPr="001F02C9">
        <w:tab/>
        <w:t>Además, aunque varias otras farmacéuticas se han dedicado al mismo trabajo</w:t>
      </w:r>
      <w:r w:rsidR="00AD29AD">
        <w:t xml:space="preserve"> en</w:t>
      </w:r>
      <w:r w:rsidRPr="001F02C9">
        <w:t xml:space="preserve"> estos últimos tiempos, la empresa Pfizer Inc estratégicamente ha </w:t>
      </w:r>
      <w:r w:rsidR="00AD29AD">
        <w:t>llevado a cabo varios</w:t>
      </w:r>
      <w:r w:rsidRPr="001F02C9">
        <w:t xml:space="preserve"> contratos con </w:t>
      </w:r>
      <w:r w:rsidR="00AD29AD">
        <w:t xml:space="preserve">distintos </w:t>
      </w:r>
      <w:r w:rsidRPr="001F02C9">
        <w:t xml:space="preserve">países para la venta de la vacuna, además que se unió con otra empresa para mejorar </w:t>
      </w:r>
      <w:r w:rsidR="00AD29AD" w:rsidRPr="001F02C9">
        <w:t>el grado</w:t>
      </w:r>
      <w:r w:rsidRPr="001F02C9">
        <w:t xml:space="preserve"> de efectividad de la vacuna. </w:t>
      </w:r>
      <w:r w:rsidR="00AD29AD" w:rsidRPr="001F02C9">
        <w:t xml:space="preserve">Estas </w:t>
      </w:r>
      <w:r w:rsidR="00AD29AD">
        <w:t>decisiones</w:t>
      </w:r>
      <w:r w:rsidR="00AD29AD" w:rsidRPr="001F02C9">
        <w:t xml:space="preserve"> de la </w:t>
      </w:r>
      <w:r w:rsidR="00AD29AD">
        <w:t>firma</w:t>
      </w:r>
      <w:r w:rsidR="00AD29AD" w:rsidRPr="001F02C9">
        <w:t xml:space="preserve"> harán</w:t>
      </w:r>
      <w:r w:rsidRPr="001F02C9">
        <w:t xml:space="preserve"> que mejore su cuota en el mercado, </w:t>
      </w:r>
      <w:r w:rsidR="00AD29AD">
        <w:t xml:space="preserve">un </w:t>
      </w:r>
      <w:r w:rsidRPr="001F02C9">
        <w:t>mejor desempeño en la bolsa de valores, atracción de inversionistas; aument</w:t>
      </w:r>
      <w:r w:rsidR="00AD29AD">
        <w:t>o en</w:t>
      </w:r>
      <w:r w:rsidRPr="001F02C9">
        <w:t xml:space="preserve"> el valor de la empresa</w:t>
      </w:r>
      <w:r w:rsidR="00AD29AD">
        <w:t>;</w:t>
      </w:r>
      <w:r w:rsidRPr="001F02C9">
        <w:t xml:space="preserve"> lo que provocará que el precio de cierre de la acción aumente. Este análisis es de utilidad ya que si se espera que el precio de cierre de la acción</w:t>
      </w:r>
      <w:r w:rsidR="00AD29AD">
        <w:t xml:space="preserve"> se incremente</w:t>
      </w:r>
      <w:r w:rsidRPr="001F02C9">
        <w:t>, es probable que los directivos de esta farmacéutica utilicen la misma estrategia de noviembre del 2020, es decir que emitan y vendas acciones de manera desparramada.</w:t>
      </w:r>
    </w:p>
    <w:p w14:paraId="3A0CB1A3" w14:textId="77777777" w:rsidR="009102F5" w:rsidRDefault="009102F5" w:rsidP="001F02C9"/>
    <w:p w14:paraId="2125AB84" w14:textId="3FC71F09" w:rsidR="009102F5" w:rsidRDefault="00AD29AD" w:rsidP="009102F5">
      <w:r w:rsidRPr="00AD29AD">
        <w:t>Finalmente, un limitante del presente trabajo es pronosticar mediante modelos estacio</w:t>
      </w:r>
      <w:r>
        <w:t>narios</w:t>
      </w:r>
      <w:r w:rsidRPr="00AD29AD">
        <w:t xml:space="preserve"> lineales</w:t>
      </w:r>
      <w:r w:rsidR="009102F5">
        <w:t xml:space="preserve"> </w:t>
      </w:r>
      <w:r w:rsidR="009102F5" w:rsidRPr="00AD29AD">
        <w:t>univariantes</w:t>
      </w:r>
      <w:r w:rsidR="009102F5">
        <w:t xml:space="preserve"> </w:t>
      </w:r>
      <w:r w:rsidR="009102F5" w:rsidRPr="009102F5">
        <w:t>ya que solo considera una variable que en este caso es el precio de cierre de la acción</w:t>
      </w:r>
      <w:r w:rsidR="009102F5">
        <w:t xml:space="preserve"> de Pfizer, s</w:t>
      </w:r>
      <w:r w:rsidR="009102F5" w:rsidRPr="009102F5">
        <w:t>in embargo, es necesario considerar otras variables que expliquen el comportamiento del precio de cierre de la acción</w:t>
      </w:r>
      <w:r w:rsidR="009102F5">
        <w:t xml:space="preserve">. </w:t>
      </w:r>
      <w:r w:rsidR="009102F5" w:rsidRPr="009102F5">
        <w:t>tales como</w:t>
      </w:r>
      <w:r w:rsidR="009102F5">
        <w:t xml:space="preserve"> la demanda mundial de vacunas, deuda interna de la empresa, </w:t>
      </w:r>
      <w:r w:rsidR="009102F5" w:rsidRPr="009102F5">
        <w:t>el número de infectados</w:t>
      </w:r>
      <w:r w:rsidR="009102F5">
        <w:t>, inflación, entre otras variables económicas.</w:t>
      </w:r>
    </w:p>
    <w:p w14:paraId="54FE6ADE" w14:textId="77777777" w:rsidR="009102F5" w:rsidRDefault="009102F5" w:rsidP="009102F5"/>
    <w:p w14:paraId="54FE6ADE" w14:textId="77777777" w:rsidR="009102F5" w:rsidRDefault="009102F5" w:rsidP="009102F5">
      <w:r>
        <w:t>Por lo cual, sería recomendable utilizar una variante del modelo ARIMA, conocido como el modelo ARMAX entre otros que da la oportunidad de añadir variables explicativas para un mejor ajuste.</w:t>
      </w:r>
    </w:p>
    <w:p w14:paraId="54FE6ADE" w14:textId="77777777" w:rsidR="009102F5" w:rsidRDefault="009102F5" w:rsidP="001F02C9"/>
    <w:p w14:paraId="42529B01" w14:textId="77777777" w:rsidR="00AD29AD" w:rsidRPr="001F02C9" w:rsidRDefault="00AD29AD" w:rsidP="001F02C9"/>
    <w:p w14:paraId="5742C769" w14:textId="225649BA" w:rsidR="00A81A90" w:rsidRDefault="00A81A90" w:rsidP="00A81A90">
      <w:pPr>
        <w:rPr>
          <w:color w:val="000000" w:themeColor="text1"/>
        </w:rPr>
      </w:pPr>
    </w:p>
    <w:p w14:paraId="63571F3D" w14:textId="2056499E" w:rsidR="00297841" w:rsidRDefault="00297841" w:rsidP="00A81A90">
      <w:pPr>
        <w:rPr>
          <w:color w:val="000000" w:themeColor="text1"/>
        </w:rPr>
      </w:pPr>
    </w:p>
    <w:p w14:paraId="2952FFCD" w14:textId="702C274C" w:rsidR="00297841" w:rsidRDefault="00297841" w:rsidP="00A81A90">
      <w:pPr>
        <w:rPr>
          <w:color w:val="000000" w:themeColor="text1"/>
        </w:rPr>
      </w:pPr>
    </w:p>
    <w:p w14:paraId="68EC87EB" w14:textId="55271F35" w:rsidR="00297841" w:rsidRDefault="00297841" w:rsidP="00A81A90">
      <w:pPr>
        <w:rPr>
          <w:color w:val="000000" w:themeColor="text1"/>
        </w:rPr>
      </w:pPr>
    </w:p>
    <w:p w14:paraId="58E5101D" w14:textId="66A81CE6" w:rsidR="00297841" w:rsidRDefault="00297841" w:rsidP="00A81A90">
      <w:pPr>
        <w:rPr>
          <w:color w:val="000000" w:themeColor="text1"/>
        </w:rPr>
      </w:pPr>
    </w:p>
    <w:p w14:paraId="5A6980C4" w14:textId="1C7DB78C" w:rsidR="00297841" w:rsidRDefault="00297841" w:rsidP="00A81A90">
      <w:pPr>
        <w:rPr>
          <w:color w:val="000000" w:themeColor="text1"/>
        </w:rPr>
      </w:pPr>
    </w:p>
    <w:p w14:paraId="1DF72F42" w14:textId="2EDCAFB3" w:rsidR="00297841" w:rsidRDefault="00297841" w:rsidP="00A81A90">
      <w:pPr>
        <w:rPr>
          <w:color w:val="000000" w:themeColor="text1"/>
        </w:rPr>
      </w:pPr>
    </w:p>
    <w:p w14:paraId="634D2CC2" w14:textId="22BAFA4D" w:rsidR="00297841" w:rsidRDefault="00297841" w:rsidP="00A81A90">
      <w:pPr>
        <w:rPr>
          <w:color w:val="000000" w:themeColor="text1"/>
        </w:rPr>
      </w:pPr>
    </w:p>
    <w:p w14:paraId="7A211E0E" w14:textId="638B073B" w:rsidR="00297841" w:rsidRDefault="00297841" w:rsidP="00A81A90">
      <w:pPr>
        <w:rPr>
          <w:color w:val="000000" w:themeColor="text1"/>
        </w:rPr>
      </w:pPr>
    </w:p>
    <w:p w14:paraId="67A13DEB" w14:textId="2FD15842" w:rsidR="00297841" w:rsidRDefault="00297841" w:rsidP="00A81A90">
      <w:pPr>
        <w:rPr>
          <w:color w:val="000000" w:themeColor="text1"/>
        </w:rPr>
      </w:pPr>
    </w:p>
    <w:p w14:paraId="0D33A76F" w14:textId="11AAFD6E" w:rsidR="00297841" w:rsidRDefault="00297841" w:rsidP="00A81A90">
      <w:pPr>
        <w:rPr>
          <w:color w:val="000000" w:themeColor="text1"/>
        </w:rPr>
      </w:pPr>
    </w:p>
    <w:p w14:paraId="67C92FF6" w14:textId="2C41E9C1" w:rsidR="00297841" w:rsidRDefault="00297841" w:rsidP="00A81A90">
      <w:pPr>
        <w:rPr>
          <w:color w:val="000000" w:themeColor="text1"/>
        </w:rPr>
      </w:pPr>
    </w:p>
    <w:p w14:paraId="77B14E7A" w14:textId="681C9574" w:rsidR="00297841" w:rsidRDefault="00297841" w:rsidP="00A81A90">
      <w:pPr>
        <w:rPr>
          <w:color w:val="000000" w:themeColor="text1"/>
        </w:rPr>
      </w:pPr>
    </w:p>
    <w:p w14:paraId="2B9E7C27" w14:textId="7A0DA50D" w:rsidR="00297841" w:rsidRDefault="00297841" w:rsidP="00A81A90">
      <w:pPr>
        <w:rPr>
          <w:color w:val="000000" w:themeColor="text1"/>
        </w:rPr>
      </w:pPr>
    </w:p>
    <w:p w14:paraId="7881EF76" w14:textId="25EFD9DD" w:rsidR="00297841" w:rsidRDefault="00297841" w:rsidP="00A81A90">
      <w:pPr>
        <w:rPr>
          <w:color w:val="000000" w:themeColor="text1"/>
        </w:rPr>
      </w:pPr>
    </w:p>
    <w:p w14:paraId="7D85A795" w14:textId="0B7B0298" w:rsidR="00050151" w:rsidRDefault="00050151" w:rsidP="00A81A90">
      <w:pPr>
        <w:rPr>
          <w:color w:val="000000" w:themeColor="text1"/>
        </w:rPr>
      </w:pPr>
    </w:p>
    <w:p w14:paraId="091F3C0B" w14:textId="0E4F15AA" w:rsidR="00050151" w:rsidRDefault="00050151" w:rsidP="00A81A90">
      <w:pPr>
        <w:rPr>
          <w:color w:val="000000" w:themeColor="text1"/>
        </w:rPr>
      </w:pPr>
    </w:p>
    <w:p w14:paraId="0AFEDFEC" w14:textId="6EE106F2" w:rsidR="00050151" w:rsidRDefault="00050151" w:rsidP="00A81A90">
      <w:pPr>
        <w:rPr>
          <w:color w:val="000000" w:themeColor="text1"/>
        </w:rPr>
      </w:pPr>
    </w:p>
    <w:p w14:paraId="49D4642E" w14:textId="741412B2" w:rsidR="00050151" w:rsidRDefault="00050151" w:rsidP="00A81A90">
      <w:pPr>
        <w:rPr>
          <w:color w:val="000000" w:themeColor="text1"/>
        </w:rPr>
      </w:pPr>
    </w:p>
    <w:p w14:paraId="411E3CA3" w14:textId="40090A5D" w:rsidR="00050151" w:rsidRDefault="00050151" w:rsidP="00A81A90">
      <w:pPr>
        <w:rPr>
          <w:color w:val="000000" w:themeColor="text1"/>
        </w:rPr>
      </w:pPr>
    </w:p>
    <w:p w14:paraId="35DF60C3" w14:textId="77777777" w:rsidR="00050151" w:rsidRDefault="00050151" w:rsidP="00A81A90">
      <w:pPr>
        <w:rPr>
          <w:color w:val="000000" w:themeColor="text1"/>
        </w:rPr>
      </w:pPr>
    </w:p>
    <w:p w14:paraId="5E480E10" w14:textId="0D506038" w:rsidR="00297841" w:rsidRDefault="00297841" w:rsidP="00A81A90">
      <w:pPr>
        <w:rPr>
          <w:color w:val="000000" w:themeColor="text1"/>
        </w:rPr>
      </w:pPr>
    </w:p>
    <w:p w14:paraId="5F88071A" w14:textId="77777777" w:rsidR="00297841" w:rsidRPr="00A81A90" w:rsidRDefault="00297841" w:rsidP="00A81A90">
      <w:pPr>
        <w:rPr>
          <w:color w:val="000000" w:themeColor="text1"/>
        </w:rPr>
      </w:pPr>
    </w:p>
    <w:p w14:paraId="29EFFC28" w14:textId="23161CA9" w:rsidR="00297841" w:rsidRPr="00297841" w:rsidRDefault="00775752" w:rsidP="00297841">
      <w:pPr>
        <w:pStyle w:val="Ttulo1"/>
      </w:pPr>
      <w:r>
        <w:lastRenderedPageBreak/>
        <w:t>BIBLIOGRAFÍA</w:t>
      </w:r>
    </w:p>
    <w:p w14:paraId="18B07C72" w14:textId="77777777" w:rsidR="00297841" w:rsidRPr="00297841" w:rsidRDefault="00297841" w:rsidP="00297841">
      <w:pPr>
        <w:pStyle w:val="Bibliografa"/>
        <w:ind w:left="720" w:hanging="720"/>
        <w:rPr>
          <w:noProof/>
          <w:lang w:val="es-ES"/>
        </w:rPr>
      </w:pPr>
      <w:r w:rsidRPr="00297841">
        <w:rPr>
          <w:noProof/>
          <w:lang w:val="es-ES"/>
        </w:rPr>
        <w:t xml:space="preserve">Adebiyi, A. A., Adewumi, A. O., &amp; Ayo, C. K. (2014). Stock Price Prediction Using the ARIMA Model. 2014 UKSim-AMSS 16th International Conference on Computer Modelling and Simulation. </w:t>
      </w:r>
    </w:p>
    <w:p w14:paraId="45A2DEDB" w14:textId="77777777" w:rsidR="00297841" w:rsidRPr="00297841" w:rsidRDefault="00297841" w:rsidP="00297841">
      <w:pPr>
        <w:pStyle w:val="Bibliografa"/>
        <w:ind w:left="720" w:hanging="720"/>
        <w:rPr>
          <w:noProof/>
          <w:lang w:val="es-ES"/>
        </w:rPr>
      </w:pPr>
      <w:r w:rsidRPr="00297841">
        <w:rPr>
          <w:noProof/>
          <w:lang w:val="es-ES"/>
        </w:rPr>
        <w:t xml:space="preserve">Arnaut-Berilo, A., Zaimovic, A., &amp; Turbo-Merdan, N. (2017). Effectiveness of Monte Carlo Simulation and Arima Model in Prediting Stock Prices. </w:t>
      </w:r>
    </w:p>
    <w:p w14:paraId="144C4F4D" w14:textId="77777777" w:rsidR="00297841" w:rsidRPr="00297841" w:rsidRDefault="00297841" w:rsidP="00297841">
      <w:pPr>
        <w:pStyle w:val="Bibliografa"/>
        <w:ind w:left="720" w:hanging="720"/>
        <w:rPr>
          <w:noProof/>
          <w:lang w:val="es-ES"/>
        </w:rPr>
      </w:pPr>
      <w:r w:rsidRPr="00297841">
        <w:rPr>
          <w:noProof/>
          <w:lang w:val="es-ES"/>
        </w:rPr>
        <w:t>BBVA. (s.f). Factores que influyen en el precio de las accciones. Obtenido de https://www.bbva.es/estaticos/mult/Ayudas_factores_acciones.pdf_tcm924-528182.pdf</w:t>
      </w:r>
    </w:p>
    <w:p w14:paraId="4E8B0B59" w14:textId="77777777" w:rsidR="00297841" w:rsidRPr="00297841" w:rsidRDefault="00297841" w:rsidP="00297841">
      <w:pPr>
        <w:pStyle w:val="Bibliografa"/>
        <w:ind w:left="720" w:hanging="720"/>
        <w:rPr>
          <w:noProof/>
          <w:lang w:val="es-ES"/>
        </w:rPr>
      </w:pPr>
      <w:r w:rsidRPr="00297841">
        <w:rPr>
          <w:noProof/>
          <w:lang w:val="es-ES"/>
        </w:rPr>
        <w:t>Bermejo, A., Torres, J., &amp; Masferrer, N. (2009). LA UTILIZACION DE LOS MODELOS ARIMA EN LA ESTIMACION DEL PRECIO DE ACCIONES: UNA APLICACION PRELIMINAR. Depósito de Investigación Universidad de Sevilla.</w:t>
      </w:r>
    </w:p>
    <w:p w14:paraId="473F2F05" w14:textId="77777777" w:rsidR="00297841" w:rsidRPr="00297841" w:rsidRDefault="00297841" w:rsidP="00297841">
      <w:pPr>
        <w:pStyle w:val="Bibliografa"/>
        <w:ind w:left="720" w:hanging="720"/>
        <w:rPr>
          <w:noProof/>
          <w:lang w:val="es-ES"/>
        </w:rPr>
      </w:pPr>
      <w:r w:rsidRPr="00297841">
        <w:rPr>
          <w:noProof/>
          <w:lang w:val="es-ES"/>
        </w:rPr>
        <w:t>Fernández, L. (24 de Septiembre de 2020). Statista. Obtenido de https://es.statista.com/temas/3631/grupo-pfizer/</w:t>
      </w:r>
    </w:p>
    <w:p w14:paraId="5DFBBCEA" w14:textId="77777777" w:rsidR="00297841" w:rsidRPr="00297841" w:rsidRDefault="00297841" w:rsidP="00297841">
      <w:pPr>
        <w:pStyle w:val="Bibliografa"/>
        <w:ind w:left="720" w:hanging="720"/>
        <w:rPr>
          <w:noProof/>
          <w:lang w:val="es-ES"/>
        </w:rPr>
      </w:pPr>
      <w:r w:rsidRPr="00297841">
        <w:rPr>
          <w:noProof/>
          <w:lang w:val="es-ES"/>
        </w:rPr>
        <w:t>González C., M. P. (Abril de 2009). Análisis de series temporales: Modelos ARIMA. País Vasco.</w:t>
      </w:r>
    </w:p>
    <w:p w14:paraId="1D8B3EA4" w14:textId="77777777" w:rsidR="00297841" w:rsidRPr="00297841" w:rsidRDefault="00297841" w:rsidP="00297841">
      <w:pPr>
        <w:pStyle w:val="Bibliografa"/>
        <w:ind w:left="720" w:hanging="720"/>
        <w:rPr>
          <w:noProof/>
          <w:lang w:val="es-ES"/>
        </w:rPr>
      </w:pPr>
      <w:r w:rsidRPr="00297841">
        <w:rPr>
          <w:noProof/>
          <w:lang w:val="es-ES"/>
        </w:rPr>
        <w:t>Goswami, S., Shit, L., &amp; Mondal, P. (2014). STUDY OF EFFECTIVENESS OF TIME SERIES MODELING (ARIMA) IN FORECASTING STOCK PRICES. International Journal of Computer Science, Engineering and Applications.</w:t>
      </w:r>
    </w:p>
    <w:p w14:paraId="01EEE70F" w14:textId="77777777" w:rsidR="00297841" w:rsidRPr="00297841" w:rsidRDefault="00297841" w:rsidP="00297841">
      <w:pPr>
        <w:pStyle w:val="Bibliografa"/>
        <w:ind w:left="720" w:hanging="720"/>
        <w:rPr>
          <w:noProof/>
          <w:lang w:val="es-ES"/>
        </w:rPr>
      </w:pPr>
      <w:r w:rsidRPr="00297841">
        <w:rPr>
          <w:noProof/>
          <w:lang w:val="es-ES"/>
        </w:rPr>
        <w:t>Mejia, R., Hilario, L., &amp; López, M. (2017). Predicción del precio diario de la acción de The Coca Cola Company. Boletín Científico de la Escuela Superior Tepeji del Rio.</w:t>
      </w:r>
    </w:p>
    <w:p w14:paraId="4522D6E2" w14:textId="77777777" w:rsidR="00297841" w:rsidRPr="00297841" w:rsidRDefault="00297841" w:rsidP="00297841">
      <w:pPr>
        <w:pStyle w:val="Bibliografa"/>
        <w:ind w:left="720" w:hanging="720"/>
        <w:rPr>
          <w:noProof/>
          <w:lang w:val="es-ES"/>
        </w:rPr>
      </w:pPr>
      <w:r w:rsidRPr="00297841">
        <w:rPr>
          <w:noProof/>
          <w:lang w:val="es-ES"/>
        </w:rPr>
        <w:t>ONU, O. d. (22 de Enero de 2021). Noticias ONU. Obtenido de https://news.un.org/es/story/2021/01/1487002</w:t>
      </w:r>
    </w:p>
    <w:p w14:paraId="1304FA3D" w14:textId="77777777" w:rsidR="00297841" w:rsidRPr="00297841" w:rsidRDefault="00297841" w:rsidP="00297841">
      <w:pPr>
        <w:pStyle w:val="Bibliografa"/>
        <w:ind w:left="720" w:hanging="720"/>
        <w:rPr>
          <w:noProof/>
          <w:lang w:val="es-ES"/>
        </w:rPr>
      </w:pPr>
      <w:r w:rsidRPr="00297841">
        <w:rPr>
          <w:noProof/>
          <w:lang w:val="es-ES"/>
        </w:rPr>
        <w:t>Simões, P. L. (23 de Septiembre de 2020). Dif Markets. Obtenido de https://www.difmarkets.com/es/articulos/invertir-empresas-vacunas-covid/</w:t>
      </w:r>
    </w:p>
    <w:p w14:paraId="4100BE77" w14:textId="77777777" w:rsidR="00297841" w:rsidRPr="00297841" w:rsidRDefault="00297841" w:rsidP="00297841">
      <w:pPr>
        <w:pStyle w:val="Bibliografa"/>
        <w:ind w:left="720" w:hanging="720"/>
        <w:rPr>
          <w:noProof/>
          <w:lang w:val="es-ES"/>
        </w:rPr>
      </w:pPr>
      <w:r w:rsidRPr="00297841">
        <w:rPr>
          <w:noProof/>
          <w:lang w:val="es-ES"/>
        </w:rPr>
        <w:t>stata. (s.f.). Stata. Obtenido de Arima: https://www.stata.com/features/time-series/ts-arima.pdf</w:t>
      </w:r>
    </w:p>
    <w:p w14:paraId="2C89AFE0" w14:textId="5497BFEF" w:rsidR="00763CF7" w:rsidRPr="00297841" w:rsidRDefault="00297841" w:rsidP="00297841">
      <w:pPr>
        <w:pStyle w:val="Bibliografa"/>
        <w:ind w:left="720" w:hanging="720"/>
        <w:rPr>
          <w:noProof/>
          <w:lang w:val="es-ES"/>
        </w:rPr>
      </w:pPr>
      <w:r w:rsidRPr="00297841">
        <w:rPr>
          <w:noProof/>
          <w:lang w:val="es-ES"/>
        </w:rPr>
        <w:t>Trejos, A., Nieto, S., &amp; Carvajal, P. (2003). MODELO DE PREDICCION DEL PRECIO DE LA ACCION ORDINARIA CEMENTOS ARGOS. Scientia et Technica.</w:t>
      </w:r>
    </w:p>
    <w:p w14:paraId="336E0012" w14:textId="040CEC29" w:rsidR="00A81A90" w:rsidRPr="00775752" w:rsidRDefault="00775752" w:rsidP="00775752">
      <w:pPr>
        <w:pStyle w:val="Ttulo1"/>
      </w:pPr>
      <w:r w:rsidRPr="00775752">
        <w:lastRenderedPageBreak/>
        <w:t>ANEXOS</w:t>
      </w:r>
    </w:p>
    <w:p w14:paraId="1E058231" w14:textId="38AE2504" w:rsidR="00A81A90" w:rsidRPr="00A81A90" w:rsidRDefault="00A81A90" w:rsidP="00763CF7">
      <w:pPr>
        <w:pStyle w:val="Ttulo2"/>
        <w:rPr>
          <w:rFonts w:eastAsia="Arial"/>
        </w:rPr>
      </w:pPr>
      <w:r w:rsidRPr="00A81A90">
        <w:rPr>
          <w:rFonts w:eastAsia="Arial"/>
        </w:rPr>
        <w:t xml:space="preserve">Anexo </w:t>
      </w:r>
      <w:r w:rsidR="00763CF7">
        <w:rPr>
          <w:rFonts w:eastAsia="Arial"/>
        </w:rPr>
        <w:t>1</w:t>
      </w:r>
    </w:p>
    <w:p w14:paraId="5460487F" w14:textId="77777777" w:rsidR="00A81A90" w:rsidRPr="00A81A90" w:rsidRDefault="00A81A90" w:rsidP="00A81A90">
      <w:pPr>
        <w:keepNext/>
        <w:jc w:val="center"/>
      </w:pPr>
      <w:r w:rsidRPr="00A81A90">
        <w:rPr>
          <w:rFonts w:eastAsia="Arial"/>
          <w:noProof/>
        </w:rPr>
        <w:drawing>
          <wp:inline distT="0" distB="0" distL="0" distR="0" wp14:anchorId="161ED8DC" wp14:editId="3872208D">
            <wp:extent cx="3658484" cy="2662733"/>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0910" cy="2664499"/>
                    </a:xfrm>
                    <a:prstGeom prst="rect">
                      <a:avLst/>
                    </a:prstGeom>
                    <a:noFill/>
                    <a:ln>
                      <a:noFill/>
                    </a:ln>
                  </pic:spPr>
                </pic:pic>
              </a:graphicData>
            </a:graphic>
          </wp:inline>
        </w:drawing>
      </w:r>
    </w:p>
    <w:p w14:paraId="0CCA20E8" w14:textId="3BED85C9" w:rsidR="00A81A90" w:rsidRPr="00A81A90" w:rsidRDefault="00A81A90" w:rsidP="00A81A90">
      <w:pPr>
        <w:pStyle w:val="Descripcin"/>
        <w:jc w:val="center"/>
      </w:pPr>
      <w:r w:rsidRPr="00A81A90">
        <w:t xml:space="preserve">Ilustración </w:t>
      </w:r>
      <w:r w:rsidRPr="00A81A90">
        <w:fldChar w:fldCharType="begin"/>
      </w:r>
      <w:r w:rsidRPr="00A81A90">
        <w:instrText xml:space="preserve"> SEQ Ilustración \* ARABIC </w:instrText>
      </w:r>
      <w:r w:rsidRPr="00A81A90">
        <w:fldChar w:fldCharType="separate"/>
      </w:r>
      <w:r w:rsidR="00CB2400">
        <w:rPr>
          <w:noProof/>
        </w:rPr>
        <w:t>11</w:t>
      </w:r>
      <w:r w:rsidRPr="00A81A90">
        <w:rPr>
          <w:noProof/>
        </w:rPr>
        <w:fldChar w:fldCharType="end"/>
      </w:r>
      <w:r w:rsidRPr="00A81A90">
        <w:t>: Diferencia estacional DS12.close</w:t>
      </w:r>
      <w:r w:rsidR="00297841">
        <w:t xml:space="preserve"> </w:t>
      </w:r>
      <w:r w:rsidR="00297841">
        <w:t>(Precio de cierre)</w:t>
      </w:r>
      <w:r w:rsidR="00763CF7">
        <w:t xml:space="preserve"> modelo SARIMA</w:t>
      </w:r>
    </w:p>
    <w:p w14:paraId="415D25EB" w14:textId="77777777" w:rsidR="00A81A90" w:rsidRPr="00A81A90" w:rsidRDefault="00A81A90" w:rsidP="00A81A90"/>
    <w:p w14:paraId="2D8486B5" w14:textId="77777777" w:rsidR="00A81A90" w:rsidRPr="00A81A90" w:rsidRDefault="00A81A90" w:rsidP="00A81A90">
      <w:pPr>
        <w:rPr>
          <w:rFonts w:eastAsia="Arial"/>
          <w:b/>
          <w:bCs/>
        </w:rPr>
      </w:pPr>
      <w:r w:rsidRPr="00A81A90">
        <w:rPr>
          <w:rFonts w:eastAsia="Arial"/>
          <w:b/>
          <w:bCs/>
        </w:rPr>
        <w:t>Test de Raíz Unitaria SARIMA</w:t>
      </w:r>
    </w:p>
    <w:p w14:paraId="50309B87" w14:textId="77777777" w:rsidR="00A81A90" w:rsidRPr="00A81A90" w:rsidRDefault="00A81A90" w:rsidP="00A81A90">
      <w:pPr>
        <w:rPr>
          <w:rFonts w:eastAsia="Arial"/>
          <w:b/>
          <w:bCs/>
          <w:i/>
          <w:iCs/>
        </w:rPr>
      </w:pPr>
      <w:r w:rsidRPr="00A81A90">
        <w:rPr>
          <w:rFonts w:eastAsia="Arial"/>
          <w:b/>
          <w:bCs/>
          <w:i/>
          <w:iCs/>
        </w:rPr>
        <w:t>Phillips-Perron</w:t>
      </w:r>
    </w:p>
    <w:p w14:paraId="73CB78B6" w14:textId="77777777" w:rsidR="00A81A90" w:rsidRPr="00A81A90" w:rsidRDefault="00A81A90" w:rsidP="00A81A90">
      <w:pPr>
        <w:rPr>
          <w:rFonts w:eastAsia="Arial"/>
        </w:rPr>
      </w:pPr>
      <w:r w:rsidRPr="00A81A90">
        <w:rPr>
          <w:noProof/>
        </w:rPr>
        <w:drawing>
          <wp:inline distT="0" distB="0" distL="0" distR="0" wp14:anchorId="0D57A225" wp14:editId="75F42A39">
            <wp:extent cx="4147969" cy="1338529"/>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6809" cy="1351062"/>
                    </a:xfrm>
                    <a:prstGeom prst="rect">
                      <a:avLst/>
                    </a:prstGeom>
                  </pic:spPr>
                </pic:pic>
              </a:graphicData>
            </a:graphic>
          </wp:inline>
        </w:drawing>
      </w:r>
    </w:p>
    <w:p w14:paraId="5FE2C2D2" w14:textId="77777777" w:rsidR="00A81A90" w:rsidRPr="00A81A90" w:rsidRDefault="00A81A90" w:rsidP="00A81A90">
      <w:pPr>
        <w:rPr>
          <w:rFonts w:eastAsia="Arial"/>
        </w:rPr>
      </w:pPr>
    </w:p>
    <w:p w14:paraId="1958D0ED" w14:textId="77777777" w:rsidR="00A81A90" w:rsidRPr="00A81A90" w:rsidRDefault="00A81A90" w:rsidP="00A81A90">
      <w:pPr>
        <w:rPr>
          <w:rFonts w:eastAsia="Arial"/>
          <w:b/>
          <w:bCs/>
          <w:i/>
          <w:iCs/>
        </w:rPr>
      </w:pPr>
      <w:r w:rsidRPr="00A81A90">
        <w:rPr>
          <w:rFonts w:eastAsia="Arial"/>
          <w:b/>
          <w:bCs/>
          <w:i/>
          <w:iCs/>
        </w:rPr>
        <w:t>Dickey-Fuller Aumentado</w:t>
      </w:r>
    </w:p>
    <w:p w14:paraId="7F53D761" w14:textId="77777777" w:rsidR="00A81A90" w:rsidRPr="00A81A90" w:rsidRDefault="00A81A90" w:rsidP="00A81A90">
      <w:pPr>
        <w:rPr>
          <w:rFonts w:eastAsia="Arial"/>
        </w:rPr>
      </w:pPr>
      <w:r w:rsidRPr="00A81A90">
        <w:rPr>
          <w:noProof/>
        </w:rPr>
        <w:drawing>
          <wp:inline distT="0" distB="0" distL="0" distR="0" wp14:anchorId="3304C32B" wp14:editId="58C02934">
            <wp:extent cx="4206240" cy="1100209"/>
            <wp:effectExtent l="0" t="0" r="381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1539" cy="1117289"/>
                    </a:xfrm>
                    <a:prstGeom prst="rect">
                      <a:avLst/>
                    </a:prstGeom>
                  </pic:spPr>
                </pic:pic>
              </a:graphicData>
            </a:graphic>
          </wp:inline>
        </w:drawing>
      </w:r>
    </w:p>
    <w:p w14:paraId="4E7AA8C9" w14:textId="77777777" w:rsidR="00A81A90" w:rsidRPr="00A81A90" w:rsidRDefault="00A81A90" w:rsidP="00A81A90">
      <w:pPr>
        <w:rPr>
          <w:rFonts w:eastAsia="Arial"/>
        </w:rPr>
      </w:pPr>
    </w:p>
    <w:p w14:paraId="52AA0D4C" w14:textId="77777777" w:rsidR="00A81A90" w:rsidRPr="00A81A90" w:rsidRDefault="00A81A90" w:rsidP="00A81A90">
      <w:pPr>
        <w:rPr>
          <w:rFonts w:eastAsia="Arial"/>
          <w:b/>
          <w:bCs/>
          <w:i/>
          <w:iCs/>
        </w:rPr>
      </w:pPr>
      <w:r w:rsidRPr="00A81A90">
        <w:rPr>
          <w:rFonts w:eastAsia="Arial"/>
          <w:b/>
          <w:bCs/>
          <w:i/>
          <w:iCs/>
        </w:rPr>
        <w:t>Correlograma simple y parcial diferencia estacional</w:t>
      </w:r>
    </w:p>
    <w:p w14:paraId="60CCF420" w14:textId="60333711" w:rsidR="00A81A90" w:rsidRPr="00A81A90" w:rsidRDefault="00A81A90" w:rsidP="00A81A90">
      <w:pPr>
        <w:pStyle w:val="Descripcin"/>
        <w:keepNext/>
        <w:jc w:val="center"/>
      </w:pPr>
      <w:r w:rsidRPr="00A81A90">
        <w:lastRenderedPageBreak/>
        <w:t xml:space="preserve">Tabla </w:t>
      </w:r>
      <w:r w:rsidRPr="00A81A90">
        <w:fldChar w:fldCharType="begin"/>
      </w:r>
      <w:r w:rsidRPr="00A81A90">
        <w:instrText xml:space="preserve"> SEQ Tabla \* ARABIC </w:instrText>
      </w:r>
      <w:r w:rsidRPr="00A81A90">
        <w:fldChar w:fldCharType="separate"/>
      </w:r>
      <w:r w:rsidR="00CB2400">
        <w:rPr>
          <w:noProof/>
        </w:rPr>
        <w:t>9</w:t>
      </w:r>
      <w:r w:rsidRPr="00A81A90">
        <w:rPr>
          <w:noProof/>
        </w:rPr>
        <w:fldChar w:fldCharType="end"/>
      </w:r>
      <w:r w:rsidRPr="00A81A90">
        <w:t>: Correlograma simple y parcial diferencia estacional</w:t>
      </w:r>
    </w:p>
    <w:p w14:paraId="31BE4F76" w14:textId="28570C12" w:rsidR="00A81A90" w:rsidRDefault="00A81A90" w:rsidP="00A81A90">
      <w:pPr>
        <w:jc w:val="center"/>
        <w:rPr>
          <w:rFonts w:eastAsia="Arial"/>
        </w:rPr>
      </w:pPr>
      <w:r w:rsidRPr="00A81A90">
        <w:rPr>
          <w:noProof/>
        </w:rPr>
        <w:drawing>
          <wp:inline distT="0" distB="0" distL="0" distR="0" wp14:anchorId="5EF98EE6" wp14:editId="0D4861FE">
            <wp:extent cx="3692427" cy="3372592"/>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3167" cy="3400670"/>
                    </a:xfrm>
                    <a:prstGeom prst="rect">
                      <a:avLst/>
                    </a:prstGeom>
                  </pic:spPr>
                </pic:pic>
              </a:graphicData>
            </a:graphic>
          </wp:inline>
        </w:drawing>
      </w:r>
    </w:p>
    <w:p w14:paraId="2E76C9EC" w14:textId="77777777" w:rsidR="00297841" w:rsidRPr="00A81A90" w:rsidRDefault="00297841" w:rsidP="00A81A90">
      <w:pPr>
        <w:jc w:val="center"/>
        <w:rPr>
          <w:rFonts w:eastAsia="Arial"/>
        </w:rPr>
      </w:pPr>
    </w:p>
    <w:p w14:paraId="6CFB218E" w14:textId="77777777" w:rsidR="00A81A90" w:rsidRPr="00A81A90" w:rsidRDefault="00A81A90" w:rsidP="00A81A90">
      <w:pPr>
        <w:jc w:val="center"/>
        <w:rPr>
          <w:rFonts w:eastAsia="Arial"/>
        </w:rPr>
      </w:pPr>
    </w:p>
    <w:p w14:paraId="79432D8F" w14:textId="77777777" w:rsidR="00A81A90" w:rsidRPr="00A81A90" w:rsidRDefault="00A81A90" w:rsidP="00A81A90">
      <w:pPr>
        <w:keepNext/>
        <w:jc w:val="center"/>
      </w:pPr>
      <w:r w:rsidRPr="00A81A90">
        <w:rPr>
          <w:noProof/>
        </w:rPr>
        <w:drawing>
          <wp:inline distT="0" distB="0" distL="0" distR="0" wp14:anchorId="44F04A27" wp14:editId="5159A23E">
            <wp:extent cx="3823666" cy="2782956"/>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27555" cy="2785786"/>
                    </a:xfrm>
                    <a:prstGeom prst="rect">
                      <a:avLst/>
                    </a:prstGeom>
                    <a:noFill/>
                    <a:ln>
                      <a:noFill/>
                    </a:ln>
                  </pic:spPr>
                </pic:pic>
              </a:graphicData>
            </a:graphic>
          </wp:inline>
        </w:drawing>
      </w:r>
    </w:p>
    <w:p w14:paraId="2137B339" w14:textId="57AF4920" w:rsidR="00A81A90" w:rsidRPr="00A81A90" w:rsidRDefault="00A81A90" w:rsidP="00A81A90">
      <w:pPr>
        <w:pStyle w:val="Descripcin"/>
        <w:jc w:val="center"/>
        <w:rPr>
          <w:rFonts w:eastAsia="Arial"/>
        </w:rPr>
      </w:pPr>
      <w:r w:rsidRPr="00A81A90">
        <w:t xml:space="preserve">Ilustración </w:t>
      </w:r>
      <w:r w:rsidRPr="00A81A90">
        <w:fldChar w:fldCharType="begin"/>
      </w:r>
      <w:r w:rsidRPr="00A81A90">
        <w:instrText xml:space="preserve"> SEQ Ilustración \* ARABIC </w:instrText>
      </w:r>
      <w:r w:rsidRPr="00A81A90">
        <w:fldChar w:fldCharType="separate"/>
      </w:r>
      <w:r w:rsidR="00CB2400">
        <w:rPr>
          <w:noProof/>
        </w:rPr>
        <w:t>12</w:t>
      </w:r>
      <w:r w:rsidRPr="00A81A90">
        <w:rPr>
          <w:noProof/>
        </w:rPr>
        <w:fldChar w:fldCharType="end"/>
      </w:r>
      <w:r w:rsidRPr="00A81A90">
        <w:t>: Autocorrelograma DS12.close</w:t>
      </w:r>
      <w:r w:rsidR="00297841">
        <w:t xml:space="preserve"> (Precio de cierre)</w:t>
      </w:r>
    </w:p>
    <w:p w14:paraId="70E35750" w14:textId="77777777" w:rsidR="00A81A90" w:rsidRPr="00A81A90" w:rsidRDefault="00A81A90" w:rsidP="00A81A90">
      <w:pPr>
        <w:keepNext/>
        <w:jc w:val="center"/>
      </w:pPr>
      <w:r w:rsidRPr="00A81A90">
        <w:rPr>
          <w:noProof/>
        </w:rPr>
        <w:lastRenderedPageBreak/>
        <w:drawing>
          <wp:inline distT="0" distB="0" distL="0" distR="0" wp14:anchorId="76B209D3" wp14:editId="272FD3AC">
            <wp:extent cx="4085859" cy="297378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88822" cy="2975944"/>
                    </a:xfrm>
                    <a:prstGeom prst="rect">
                      <a:avLst/>
                    </a:prstGeom>
                    <a:noFill/>
                    <a:ln>
                      <a:noFill/>
                    </a:ln>
                  </pic:spPr>
                </pic:pic>
              </a:graphicData>
            </a:graphic>
          </wp:inline>
        </w:drawing>
      </w:r>
    </w:p>
    <w:p w14:paraId="5C998E73" w14:textId="7F67C1A8" w:rsidR="00A81A90" w:rsidRPr="00A81A90" w:rsidRDefault="00A81A90" w:rsidP="00A81A90">
      <w:pPr>
        <w:pStyle w:val="Descripcin"/>
        <w:jc w:val="center"/>
        <w:rPr>
          <w:rFonts w:eastAsia="Arial"/>
        </w:rPr>
      </w:pPr>
      <w:r w:rsidRPr="00A81A90">
        <w:t xml:space="preserve">Ilustración </w:t>
      </w:r>
      <w:r w:rsidRPr="00A81A90">
        <w:fldChar w:fldCharType="begin"/>
      </w:r>
      <w:r w:rsidRPr="00A81A90">
        <w:instrText xml:space="preserve"> SEQ Ilustración \* ARABIC </w:instrText>
      </w:r>
      <w:r w:rsidRPr="00A81A90">
        <w:fldChar w:fldCharType="separate"/>
      </w:r>
      <w:r w:rsidR="00CB2400">
        <w:rPr>
          <w:noProof/>
        </w:rPr>
        <w:t>13</w:t>
      </w:r>
      <w:r w:rsidRPr="00A81A90">
        <w:rPr>
          <w:noProof/>
        </w:rPr>
        <w:fldChar w:fldCharType="end"/>
      </w:r>
      <w:r w:rsidRPr="00A81A90">
        <w:t>: Autocorrelograma parcial DS12.close</w:t>
      </w:r>
      <w:r w:rsidR="00297841">
        <w:t xml:space="preserve"> </w:t>
      </w:r>
      <w:r w:rsidR="00297841">
        <w:t>(Precio de cierre)</w:t>
      </w:r>
    </w:p>
    <w:p w14:paraId="09FAAB52" w14:textId="0BCEE56B" w:rsidR="00A81A90" w:rsidRDefault="00A81A90" w:rsidP="00A81A90">
      <w:pPr>
        <w:jc w:val="center"/>
        <w:rPr>
          <w:rFonts w:eastAsia="Arial"/>
        </w:rPr>
      </w:pPr>
    </w:p>
    <w:p w14:paraId="1B4400FB" w14:textId="4C4C1690" w:rsidR="00763CF7" w:rsidRPr="00763CF7" w:rsidRDefault="00763CF7" w:rsidP="00763CF7">
      <w:pPr>
        <w:pStyle w:val="Ttulo2"/>
        <w:rPr>
          <w:rFonts w:eastAsia="Arial"/>
        </w:rPr>
      </w:pPr>
      <w:r w:rsidRPr="00763CF7">
        <w:rPr>
          <w:rFonts w:eastAsia="Arial"/>
        </w:rPr>
        <w:t>Anexo 2</w:t>
      </w:r>
    </w:p>
    <w:p w14:paraId="708B1E96" w14:textId="77777777" w:rsidR="00A81A90" w:rsidRPr="00A81A90" w:rsidRDefault="00A81A90" w:rsidP="00A81A90">
      <w:pPr>
        <w:rPr>
          <w:rFonts w:eastAsia="Arial"/>
          <w:b/>
          <w:bCs/>
          <w:i/>
          <w:iCs/>
        </w:rPr>
      </w:pPr>
      <w:r w:rsidRPr="00A81A90">
        <w:rPr>
          <w:rFonts w:eastAsia="Arial"/>
          <w:b/>
          <w:bCs/>
          <w:i/>
          <w:iCs/>
        </w:rPr>
        <w:t>Prueba de Portmanteau para ruido blanco</w:t>
      </w:r>
    </w:p>
    <w:p w14:paraId="24214A5E" w14:textId="77777777" w:rsidR="00A81A90" w:rsidRPr="00A81A90" w:rsidRDefault="00A81A90" w:rsidP="00A81A90">
      <w:pPr>
        <w:rPr>
          <w:rFonts w:eastAsia="Arial"/>
          <w:lang w:val="en-US"/>
        </w:rPr>
      </w:pPr>
      <w:r w:rsidRPr="00A81A90">
        <w:rPr>
          <w:rFonts w:eastAsia="Arial"/>
          <w:lang w:val="en-US"/>
        </w:rPr>
        <w:t>Portmanteau test for white noise</w:t>
      </w:r>
    </w:p>
    <w:p w14:paraId="2C2EC4F4" w14:textId="77777777" w:rsidR="00A81A90" w:rsidRPr="00A81A90" w:rsidRDefault="00A81A90" w:rsidP="00A81A90">
      <w:pPr>
        <w:rPr>
          <w:rFonts w:eastAsia="Arial"/>
          <w:lang w:val="en-US"/>
        </w:rPr>
      </w:pPr>
      <w:r w:rsidRPr="00A81A90">
        <w:rPr>
          <w:rFonts w:eastAsia="Arial"/>
          <w:lang w:val="en-US"/>
        </w:rPr>
        <w:t>---------------------------------------</w:t>
      </w:r>
    </w:p>
    <w:p w14:paraId="19467F16" w14:textId="77777777" w:rsidR="00A81A90" w:rsidRPr="00A81A90" w:rsidRDefault="00A81A90" w:rsidP="00A81A90">
      <w:pPr>
        <w:rPr>
          <w:rFonts w:eastAsia="Arial"/>
          <w:lang w:val="en-US"/>
        </w:rPr>
      </w:pPr>
      <w:r w:rsidRPr="00A81A90">
        <w:rPr>
          <w:rFonts w:eastAsia="Arial"/>
          <w:lang w:val="en-US"/>
        </w:rPr>
        <w:t xml:space="preserve"> Portmanteau (Q) statistic =    22.9422</w:t>
      </w:r>
    </w:p>
    <w:p w14:paraId="40863C8B" w14:textId="77777777" w:rsidR="00A81A90" w:rsidRPr="00A81A90" w:rsidRDefault="00A81A90" w:rsidP="00A81A90">
      <w:pPr>
        <w:rPr>
          <w:rFonts w:eastAsia="Arial"/>
          <w:lang w:val="en-US"/>
        </w:rPr>
      </w:pPr>
      <w:r w:rsidRPr="00A81A90">
        <w:rPr>
          <w:rFonts w:eastAsia="Arial"/>
          <w:lang w:val="en-US"/>
        </w:rPr>
        <w:t xml:space="preserve"> Prob &gt; chi2(40)           =     0.9860</w:t>
      </w:r>
    </w:p>
    <w:p w14:paraId="78CD7A42" w14:textId="77777777" w:rsidR="00A81A90" w:rsidRPr="00A81A90" w:rsidRDefault="00A81A90" w:rsidP="00A81A90">
      <w:pPr>
        <w:rPr>
          <w:rFonts w:eastAsia="Arial"/>
          <w:lang w:val="en-US"/>
        </w:rPr>
      </w:pPr>
    </w:p>
    <w:p w14:paraId="7DD8270A" w14:textId="77777777" w:rsidR="00A81A90" w:rsidRPr="00A81A90" w:rsidRDefault="00A81A90" w:rsidP="00A81A90">
      <w:pPr>
        <w:rPr>
          <w:rFonts w:eastAsia="Arial"/>
          <w:b/>
          <w:bCs/>
          <w:i/>
          <w:iCs/>
        </w:rPr>
      </w:pPr>
      <w:r w:rsidRPr="00A81A90">
        <w:rPr>
          <w:rFonts w:eastAsia="Arial"/>
          <w:b/>
          <w:bCs/>
          <w:i/>
          <w:iCs/>
        </w:rPr>
        <w:t>Autocorrelograma y Autocorrelograma parcial errores modelo SARIMA</w:t>
      </w:r>
    </w:p>
    <w:p w14:paraId="685EAE94" w14:textId="77777777" w:rsidR="00A81A90" w:rsidRPr="00A81A90" w:rsidRDefault="00A81A90" w:rsidP="00A81A90">
      <w:pPr>
        <w:keepNext/>
        <w:jc w:val="center"/>
      </w:pPr>
      <w:r w:rsidRPr="00A81A90">
        <w:rPr>
          <w:noProof/>
        </w:rPr>
        <w:lastRenderedPageBreak/>
        <w:drawing>
          <wp:inline distT="0" distB="0" distL="0" distR="0" wp14:anchorId="70D8363D" wp14:editId="61F4A7A7">
            <wp:extent cx="3714750" cy="270368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25892" cy="2711794"/>
                    </a:xfrm>
                    <a:prstGeom prst="rect">
                      <a:avLst/>
                    </a:prstGeom>
                    <a:noFill/>
                    <a:ln>
                      <a:noFill/>
                    </a:ln>
                  </pic:spPr>
                </pic:pic>
              </a:graphicData>
            </a:graphic>
          </wp:inline>
        </w:drawing>
      </w:r>
    </w:p>
    <w:p w14:paraId="135C5F07" w14:textId="00856A95" w:rsidR="00A81A90" w:rsidRDefault="00A81A90" w:rsidP="00A81A90">
      <w:pPr>
        <w:pStyle w:val="Descripcin"/>
        <w:jc w:val="center"/>
      </w:pPr>
      <w:r w:rsidRPr="00A81A90">
        <w:t xml:space="preserve">Ilustración </w:t>
      </w:r>
      <w:r w:rsidRPr="00A81A90">
        <w:fldChar w:fldCharType="begin"/>
      </w:r>
      <w:r w:rsidRPr="00A81A90">
        <w:instrText xml:space="preserve"> SEQ Ilustración \* ARABIC </w:instrText>
      </w:r>
      <w:r w:rsidRPr="00A81A90">
        <w:fldChar w:fldCharType="separate"/>
      </w:r>
      <w:r w:rsidR="00CB2400">
        <w:rPr>
          <w:noProof/>
        </w:rPr>
        <w:t>14</w:t>
      </w:r>
      <w:r w:rsidRPr="00A81A90">
        <w:rPr>
          <w:noProof/>
        </w:rPr>
        <w:fldChar w:fldCharType="end"/>
      </w:r>
      <w:r w:rsidRPr="00A81A90">
        <w:t>: Autocorrelograma de los errores SARIMA</w:t>
      </w:r>
    </w:p>
    <w:p w14:paraId="19568C74" w14:textId="77777777" w:rsidR="00297841" w:rsidRPr="00297841" w:rsidRDefault="00297841" w:rsidP="00297841"/>
    <w:p w14:paraId="59B63B4D" w14:textId="77777777" w:rsidR="00A81A90" w:rsidRPr="00A81A90" w:rsidRDefault="00A81A90" w:rsidP="00A81A90">
      <w:pPr>
        <w:keepNext/>
        <w:jc w:val="center"/>
      </w:pPr>
      <w:r w:rsidRPr="00A81A90">
        <w:rPr>
          <w:noProof/>
        </w:rPr>
        <w:drawing>
          <wp:inline distT="0" distB="0" distL="0" distR="0" wp14:anchorId="3B83851F" wp14:editId="3F96C9BB">
            <wp:extent cx="3920159" cy="2853186"/>
            <wp:effectExtent l="0" t="0" r="4445"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23594" cy="2855686"/>
                    </a:xfrm>
                    <a:prstGeom prst="rect">
                      <a:avLst/>
                    </a:prstGeom>
                    <a:noFill/>
                    <a:ln>
                      <a:noFill/>
                    </a:ln>
                  </pic:spPr>
                </pic:pic>
              </a:graphicData>
            </a:graphic>
          </wp:inline>
        </w:drawing>
      </w:r>
    </w:p>
    <w:p w14:paraId="3F0DD5CF" w14:textId="23EC7BA4" w:rsidR="00A81A90" w:rsidRPr="00A81A90" w:rsidRDefault="00A81A90" w:rsidP="00A81A90">
      <w:pPr>
        <w:pStyle w:val="Descripcin"/>
        <w:jc w:val="center"/>
        <w:rPr>
          <w:rFonts w:eastAsia="Arial"/>
        </w:rPr>
      </w:pPr>
      <w:r w:rsidRPr="00A81A90">
        <w:t xml:space="preserve">Ilustración </w:t>
      </w:r>
      <w:r w:rsidRPr="00A81A90">
        <w:fldChar w:fldCharType="begin"/>
      </w:r>
      <w:r w:rsidRPr="00A81A90">
        <w:instrText xml:space="preserve"> SEQ Ilustración \* ARABIC </w:instrText>
      </w:r>
      <w:r w:rsidRPr="00A81A90">
        <w:fldChar w:fldCharType="separate"/>
      </w:r>
      <w:r w:rsidR="00CB2400">
        <w:rPr>
          <w:noProof/>
        </w:rPr>
        <w:t>15</w:t>
      </w:r>
      <w:r w:rsidRPr="00A81A90">
        <w:rPr>
          <w:noProof/>
        </w:rPr>
        <w:fldChar w:fldCharType="end"/>
      </w:r>
      <w:r w:rsidRPr="00A81A90">
        <w:t>: Autocorrelograma parcial de los errores SARIMA</w:t>
      </w:r>
    </w:p>
    <w:p w14:paraId="10D04211" w14:textId="77777777" w:rsidR="00A81A90" w:rsidRPr="00A81A90" w:rsidRDefault="00A81A90" w:rsidP="00A81A90">
      <w:pPr>
        <w:rPr>
          <w:rFonts w:eastAsia="Arial"/>
        </w:rPr>
      </w:pPr>
    </w:p>
    <w:p w14:paraId="20832DD1" w14:textId="77777777" w:rsidR="00A81A90" w:rsidRPr="00A81A90" w:rsidRDefault="00A81A90" w:rsidP="00A81A90">
      <w:pPr>
        <w:keepNext/>
        <w:jc w:val="center"/>
      </w:pPr>
      <w:r w:rsidRPr="00A81A90">
        <w:rPr>
          <w:noProof/>
        </w:rPr>
        <w:lastRenderedPageBreak/>
        <w:drawing>
          <wp:inline distT="0" distB="0" distL="0" distR="0" wp14:anchorId="16C5F21D" wp14:editId="1D96BA74">
            <wp:extent cx="4171950" cy="303644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80847" cy="3042921"/>
                    </a:xfrm>
                    <a:prstGeom prst="rect">
                      <a:avLst/>
                    </a:prstGeom>
                    <a:noFill/>
                    <a:ln>
                      <a:noFill/>
                    </a:ln>
                  </pic:spPr>
                </pic:pic>
              </a:graphicData>
            </a:graphic>
          </wp:inline>
        </w:drawing>
      </w:r>
    </w:p>
    <w:p w14:paraId="638161C5" w14:textId="7D424F0D" w:rsidR="00A81A90" w:rsidRPr="00A81A90" w:rsidRDefault="00A81A90" w:rsidP="00A81A90">
      <w:pPr>
        <w:pStyle w:val="Descripcin"/>
        <w:jc w:val="center"/>
        <w:rPr>
          <w:rFonts w:eastAsia="Arial"/>
        </w:rPr>
      </w:pPr>
      <w:r w:rsidRPr="00A81A90">
        <w:t xml:space="preserve">Ilustración </w:t>
      </w:r>
      <w:r w:rsidRPr="00A81A90">
        <w:fldChar w:fldCharType="begin"/>
      </w:r>
      <w:r w:rsidRPr="00A81A90">
        <w:instrText xml:space="preserve"> SEQ Ilustración \* ARABIC </w:instrText>
      </w:r>
      <w:r w:rsidRPr="00A81A90">
        <w:fldChar w:fldCharType="separate"/>
      </w:r>
      <w:r w:rsidR="00CB2400">
        <w:rPr>
          <w:noProof/>
        </w:rPr>
        <w:t>16</w:t>
      </w:r>
      <w:r w:rsidRPr="00A81A90">
        <w:rPr>
          <w:noProof/>
        </w:rPr>
        <w:fldChar w:fldCharType="end"/>
      </w:r>
      <w:r w:rsidRPr="00A81A90">
        <w:t>: Errores SARIMA y su media</w:t>
      </w:r>
    </w:p>
    <w:p w14:paraId="7590C144" w14:textId="77777777" w:rsidR="00A81A90" w:rsidRPr="00A81A90" w:rsidRDefault="00A81A90" w:rsidP="00A81A90">
      <w:pPr>
        <w:rPr>
          <w:rFonts w:ascii="Arial" w:hAnsi="Arial" w:cs="Arial"/>
          <w:color w:val="000000" w:themeColor="text1"/>
        </w:rPr>
      </w:pPr>
    </w:p>
    <w:p w14:paraId="4D5353D3" w14:textId="77777777" w:rsidR="00A81A90" w:rsidRPr="00A81A90" w:rsidRDefault="00A81A90" w:rsidP="00A81A90">
      <w:pPr>
        <w:rPr>
          <w:rFonts w:ascii="Arial" w:hAnsi="Arial" w:cs="Arial"/>
          <w:color w:val="000000" w:themeColor="text1"/>
        </w:rPr>
      </w:pPr>
    </w:p>
    <w:p w14:paraId="10C3A4E4" w14:textId="77777777" w:rsidR="00A81A90" w:rsidRPr="00A81A90" w:rsidRDefault="00A81A90" w:rsidP="00A81A90">
      <w:pPr>
        <w:pStyle w:val="TtuloTDC"/>
        <w:spacing w:line="360" w:lineRule="auto"/>
        <w:rPr>
          <w:rFonts w:ascii="Arial" w:hAnsi="Arial" w:cs="Arial"/>
          <w:sz w:val="22"/>
          <w:szCs w:val="22"/>
        </w:rPr>
      </w:pPr>
    </w:p>
    <w:p w14:paraId="642ACFA7" w14:textId="596D1D65" w:rsidR="00B25300" w:rsidRPr="00A81A90" w:rsidRDefault="00B25300" w:rsidP="00A81A90"/>
    <w:sectPr w:rsidR="00B25300" w:rsidRPr="00A81A90" w:rsidSect="006C09A5">
      <w:headerReference w:type="default" r:id="rId30"/>
      <w:footerReference w:type="default" r:id="rId31"/>
      <w:type w:val="continuous"/>
      <w:pgSz w:w="11906" w:h="16838" w:code="9"/>
      <w:pgMar w:top="1417" w:right="1701" w:bottom="1417" w:left="1701" w:header="22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B38C1" w14:textId="77777777" w:rsidR="00102975" w:rsidRDefault="00102975" w:rsidP="00253269">
      <w:pPr>
        <w:spacing w:line="240" w:lineRule="auto"/>
      </w:pPr>
      <w:r>
        <w:separator/>
      </w:r>
    </w:p>
  </w:endnote>
  <w:endnote w:type="continuationSeparator" w:id="0">
    <w:p w14:paraId="1FB0B355" w14:textId="77777777" w:rsidR="00102975" w:rsidRDefault="00102975" w:rsidP="00253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varese IT Cby B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58861"/>
      <w:docPartObj>
        <w:docPartGallery w:val="Page Numbers (Bottom of Page)"/>
        <w:docPartUnique/>
      </w:docPartObj>
    </w:sdtPr>
    <w:sdtContent>
      <w:p w14:paraId="6CF68647" w14:textId="7D3C182C" w:rsidR="009102F5" w:rsidRDefault="009102F5">
        <w:pPr>
          <w:pStyle w:val="Piedepgina"/>
          <w:jc w:val="right"/>
        </w:pPr>
        <w:r>
          <w:fldChar w:fldCharType="begin"/>
        </w:r>
        <w:r>
          <w:instrText>PAGE   \* MERGEFORMAT</w:instrText>
        </w:r>
        <w:r>
          <w:fldChar w:fldCharType="separate"/>
        </w:r>
        <w:r>
          <w:rPr>
            <w:lang w:val="es-ES"/>
          </w:rPr>
          <w:t>2</w:t>
        </w:r>
        <w:r>
          <w:fldChar w:fldCharType="end"/>
        </w:r>
      </w:p>
    </w:sdtContent>
  </w:sdt>
  <w:p w14:paraId="6C785CA9" w14:textId="77777777" w:rsidR="009102F5" w:rsidRDefault="009102F5">
    <w:pPr>
      <w:pStyle w:val="Piedepgina"/>
    </w:pPr>
  </w:p>
  <w:p w14:paraId="4EFD0C59" w14:textId="77777777" w:rsidR="009102F5" w:rsidRDefault="00910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986B0" w14:textId="77777777" w:rsidR="00102975" w:rsidRDefault="00102975" w:rsidP="00253269">
      <w:pPr>
        <w:spacing w:line="240" w:lineRule="auto"/>
      </w:pPr>
      <w:r>
        <w:separator/>
      </w:r>
    </w:p>
  </w:footnote>
  <w:footnote w:type="continuationSeparator" w:id="0">
    <w:p w14:paraId="0AEF0D4E" w14:textId="77777777" w:rsidR="00102975" w:rsidRDefault="00102975" w:rsidP="00253269">
      <w:pPr>
        <w:spacing w:line="240" w:lineRule="auto"/>
      </w:pPr>
      <w:r>
        <w:continuationSeparator/>
      </w:r>
    </w:p>
  </w:footnote>
  <w:footnote w:id="1">
    <w:p w14:paraId="0BCAFAE0" w14:textId="77777777" w:rsidR="009102F5" w:rsidRPr="006E1519" w:rsidRDefault="009102F5" w:rsidP="00A81A90">
      <w:pPr>
        <w:pStyle w:val="Textonotapie"/>
        <w:rPr>
          <w:rFonts w:ascii="Times New Roman" w:hAnsi="Times New Roman"/>
          <w:color w:val="000000" w:themeColor="text1"/>
          <w:sz w:val="24"/>
          <w:szCs w:val="24"/>
        </w:rPr>
      </w:pPr>
      <w:r w:rsidRPr="006E1519">
        <w:rPr>
          <w:rStyle w:val="Refdenotaalpie"/>
          <w:rFonts w:ascii="Times New Roman" w:hAnsi="Times New Roman"/>
          <w:color w:val="000000" w:themeColor="text1"/>
          <w:sz w:val="22"/>
          <w:szCs w:val="22"/>
        </w:rPr>
        <w:footnoteRef/>
      </w:r>
      <w:r w:rsidRPr="006E1519">
        <w:rPr>
          <w:rFonts w:ascii="Times New Roman" w:hAnsi="Times New Roman"/>
          <w:color w:val="000000" w:themeColor="text1"/>
          <w:sz w:val="22"/>
          <w:szCs w:val="22"/>
        </w:rPr>
        <w:t xml:space="preserve"> La elaboración de la vacuna tiene varias fases como: pruebas pre-clínicas, fase I, fase II, fase III, aprobación.</w:t>
      </w:r>
    </w:p>
  </w:footnote>
  <w:footnote w:id="2">
    <w:p w14:paraId="05072790" w14:textId="413F2023" w:rsidR="009102F5" w:rsidRDefault="009102F5" w:rsidP="00A81A90">
      <w:pPr>
        <w:pStyle w:val="Textonotapie"/>
      </w:pPr>
      <w:r>
        <w:rPr>
          <w:rStyle w:val="Refdenotaalpie"/>
        </w:rPr>
        <w:footnoteRef/>
      </w:r>
      <w:r>
        <w:t xml:space="preserve"> </w:t>
      </w:r>
      <w:r w:rsidRPr="001C11E7">
        <w:rPr>
          <w:rFonts w:ascii="Times New Roman" w:hAnsi="Times New Roman"/>
          <w:color w:val="000000" w:themeColor="text1"/>
          <w:sz w:val="24"/>
          <w:szCs w:val="24"/>
        </w:rPr>
        <w:t>Este proyecto</w:t>
      </w:r>
      <w:r>
        <w:rPr>
          <w:rFonts w:ascii="Times New Roman" w:hAnsi="Times New Roman"/>
          <w:color w:val="000000" w:themeColor="text1"/>
          <w:sz w:val="24"/>
          <w:szCs w:val="24"/>
        </w:rPr>
        <w:t xml:space="preserve"> BNT162 </w:t>
      </w:r>
      <w:r w:rsidRPr="001C11E7">
        <w:rPr>
          <w:rFonts w:ascii="Times New Roman" w:hAnsi="Times New Roman"/>
          <w:color w:val="000000" w:themeColor="text1"/>
          <w:sz w:val="24"/>
          <w:szCs w:val="24"/>
        </w:rPr>
        <w:t>fue aprobado por el Instituto Paul-Ehrlich, como autoridad regulatoria en Alemania el 22 de abril del 2020</w:t>
      </w:r>
    </w:p>
  </w:footnote>
  <w:footnote w:id="3">
    <w:p w14:paraId="7E857E06" w14:textId="77777777" w:rsidR="009102F5" w:rsidRPr="000A3A8A" w:rsidRDefault="009102F5" w:rsidP="00CB2400">
      <w:r w:rsidRPr="00CB2400">
        <w:rPr>
          <w:rStyle w:val="Refdenotaalpie"/>
          <w:sz w:val="22"/>
          <w:szCs w:val="20"/>
        </w:rPr>
        <w:footnoteRef/>
      </w:r>
      <w:r w:rsidRPr="00CB2400">
        <w:rPr>
          <w:sz w:val="22"/>
          <w:szCs w:val="20"/>
        </w:rPr>
        <w:t xml:space="preserve"> También hubo propuestas arbitrarias para el ARIMA(p,d,q) pero con base en los correlogramas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228C7" w14:textId="51F9F212" w:rsidR="009102F5" w:rsidRDefault="009102F5" w:rsidP="008025D7">
    <w:pPr>
      <w:pStyle w:val="Encabezado"/>
      <w:ind w:firstLine="0"/>
    </w:pPr>
    <w:r>
      <w:rPr>
        <w:noProof/>
      </w:rPr>
      <w:drawing>
        <wp:inline distT="0" distB="0" distL="0" distR="0" wp14:anchorId="0B1579E3" wp14:editId="6A54CD0B">
          <wp:extent cx="419100" cy="566252"/>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78810"/>
                  <a:stretch/>
                </pic:blipFill>
                <pic:spPr bwMode="auto">
                  <a:xfrm>
                    <a:off x="0" y="0"/>
                    <a:ext cx="433609" cy="58585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UNIVERSIDAD DE CUENCA</w:t>
    </w:r>
  </w:p>
  <w:p w14:paraId="7092615C" w14:textId="77777777" w:rsidR="009102F5" w:rsidRDefault="009102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2F09"/>
    <w:multiLevelType w:val="hybridMultilevel"/>
    <w:tmpl w:val="FCA4A888"/>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038D6E65"/>
    <w:multiLevelType w:val="hybridMultilevel"/>
    <w:tmpl w:val="0466F7AE"/>
    <w:lvl w:ilvl="0" w:tplc="DE7E4BFA">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2" w15:restartNumberingAfterBreak="0">
    <w:nsid w:val="088A59DF"/>
    <w:multiLevelType w:val="hybridMultilevel"/>
    <w:tmpl w:val="2A5EBF20"/>
    <w:lvl w:ilvl="0" w:tplc="300A000D">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 w15:restartNumberingAfterBreak="0">
    <w:nsid w:val="09CE48D1"/>
    <w:multiLevelType w:val="hybridMultilevel"/>
    <w:tmpl w:val="94841740"/>
    <w:lvl w:ilvl="0" w:tplc="300A0017">
      <w:start w:val="1"/>
      <w:numFmt w:val="lowerLetter"/>
      <w:lvlText w:val="%1)"/>
      <w:lvlJc w:val="left"/>
      <w:pPr>
        <w:ind w:left="973" w:hanging="405"/>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4" w15:restartNumberingAfterBreak="0">
    <w:nsid w:val="0D466448"/>
    <w:multiLevelType w:val="hybridMultilevel"/>
    <w:tmpl w:val="BDDE630A"/>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17746F37"/>
    <w:multiLevelType w:val="hybridMultilevel"/>
    <w:tmpl w:val="D472BCB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6" w15:restartNumberingAfterBreak="0">
    <w:nsid w:val="186D342B"/>
    <w:multiLevelType w:val="hybridMultilevel"/>
    <w:tmpl w:val="6E262D7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B6F15C2"/>
    <w:multiLevelType w:val="hybridMultilevel"/>
    <w:tmpl w:val="868E5704"/>
    <w:lvl w:ilvl="0" w:tplc="C7DCBD98">
      <w:start w:val="1"/>
      <w:numFmt w:val="upperLetter"/>
      <w:lvlText w:val="%1."/>
      <w:lvlJc w:val="left"/>
      <w:pPr>
        <w:ind w:left="1211" w:hanging="360"/>
      </w:pPr>
      <w:rPr>
        <w:b/>
        <w:bCs/>
      </w:rPr>
    </w:lvl>
    <w:lvl w:ilvl="1" w:tplc="300A0019" w:tentative="1">
      <w:start w:val="1"/>
      <w:numFmt w:val="lowerLetter"/>
      <w:lvlText w:val="%2."/>
      <w:lvlJc w:val="left"/>
      <w:pPr>
        <w:ind w:left="1931" w:hanging="360"/>
      </w:pPr>
    </w:lvl>
    <w:lvl w:ilvl="2" w:tplc="300A001B" w:tentative="1">
      <w:start w:val="1"/>
      <w:numFmt w:val="lowerRoman"/>
      <w:lvlText w:val="%3."/>
      <w:lvlJc w:val="right"/>
      <w:pPr>
        <w:ind w:left="2651" w:hanging="180"/>
      </w:pPr>
    </w:lvl>
    <w:lvl w:ilvl="3" w:tplc="300A000F" w:tentative="1">
      <w:start w:val="1"/>
      <w:numFmt w:val="decimal"/>
      <w:lvlText w:val="%4."/>
      <w:lvlJc w:val="left"/>
      <w:pPr>
        <w:ind w:left="3371" w:hanging="360"/>
      </w:pPr>
    </w:lvl>
    <w:lvl w:ilvl="4" w:tplc="300A0019" w:tentative="1">
      <w:start w:val="1"/>
      <w:numFmt w:val="lowerLetter"/>
      <w:lvlText w:val="%5."/>
      <w:lvlJc w:val="left"/>
      <w:pPr>
        <w:ind w:left="4091" w:hanging="360"/>
      </w:pPr>
    </w:lvl>
    <w:lvl w:ilvl="5" w:tplc="300A001B" w:tentative="1">
      <w:start w:val="1"/>
      <w:numFmt w:val="lowerRoman"/>
      <w:lvlText w:val="%6."/>
      <w:lvlJc w:val="right"/>
      <w:pPr>
        <w:ind w:left="4811" w:hanging="180"/>
      </w:pPr>
    </w:lvl>
    <w:lvl w:ilvl="6" w:tplc="300A000F" w:tentative="1">
      <w:start w:val="1"/>
      <w:numFmt w:val="decimal"/>
      <w:lvlText w:val="%7."/>
      <w:lvlJc w:val="left"/>
      <w:pPr>
        <w:ind w:left="5531" w:hanging="360"/>
      </w:pPr>
    </w:lvl>
    <w:lvl w:ilvl="7" w:tplc="300A0019" w:tentative="1">
      <w:start w:val="1"/>
      <w:numFmt w:val="lowerLetter"/>
      <w:lvlText w:val="%8."/>
      <w:lvlJc w:val="left"/>
      <w:pPr>
        <w:ind w:left="6251" w:hanging="360"/>
      </w:pPr>
    </w:lvl>
    <w:lvl w:ilvl="8" w:tplc="300A001B" w:tentative="1">
      <w:start w:val="1"/>
      <w:numFmt w:val="lowerRoman"/>
      <w:lvlText w:val="%9."/>
      <w:lvlJc w:val="right"/>
      <w:pPr>
        <w:ind w:left="6971" w:hanging="180"/>
      </w:pPr>
    </w:lvl>
  </w:abstractNum>
  <w:abstractNum w:abstractNumId="8" w15:restartNumberingAfterBreak="0">
    <w:nsid w:val="1B96794C"/>
    <w:multiLevelType w:val="hybridMultilevel"/>
    <w:tmpl w:val="3CDAF8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F3D1405"/>
    <w:multiLevelType w:val="hybridMultilevel"/>
    <w:tmpl w:val="83DACC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25920151"/>
    <w:multiLevelType w:val="hybridMultilevel"/>
    <w:tmpl w:val="76D09D72"/>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1" w15:restartNumberingAfterBreak="0">
    <w:nsid w:val="28870D6C"/>
    <w:multiLevelType w:val="hybridMultilevel"/>
    <w:tmpl w:val="125A719E"/>
    <w:lvl w:ilvl="0" w:tplc="300A000D">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2" w15:restartNumberingAfterBreak="0">
    <w:nsid w:val="29402487"/>
    <w:multiLevelType w:val="hybridMultilevel"/>
    <w:tmpl w:val="F02C4A6E"/>
    <w:lvl w:ilvl="0" w:tplc="8B780E5A">
      <w:numFmt w:val="bullet"/>
      <w:lvlText w:val="-"/>
      <w:lvlJc w:val="left"/>
      <w:pPr>
        <w:ind w:left="644" w:hanging="360"/>
      </w:pPr>
      <w:rPr>
        <w:rFonts w:ascii="Arial" w:eastAsiaTheme="minorHAnsi" w:hAnsi="Arial" w:cs="Aria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3" w15:restartNumberingAfterBreak="0">
    <w:nsid w:val="2BDC492B"/>
    <w:multiLevelType w:val="hybridMultilevel"/>
    <w:tmpl w:val="847029E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2CCA7E1A"/>
    <w:multiLevelType w:val="hybridMultilevel"/>
    <w:tmpl w:val="8E12EC90"/>
    <w:lvl w:ilvl="0" w:tplc="6B2A976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DA12BE1"/>
    <w:multiLevelType w:val="hybridMultilevel"/>
    <w:tmpl w:val="35FA49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2DE86BF1"/>
    <w:multiLevelType w:val="hybridMultilevel"/>
    <w:tmpl w:val="89C85B5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7" w15:restartNumberingAfterBreak="0">
    <w:nsid w:val="30881456"/>
    <w:multiLevelType w:val="hybridMultilevel"/>
    <w:tmpl w:val="3AA2B002"/>
    <w:lvl w:ilvl="0" w:tplc="B226F128">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31D62CB0"/>
    <w:multiLevelType w:val="hybridMultilevel"/>
    <w:tmpl w:val="91EA6552"/>
    <w:lvl w:ilvl="0" w:tplc="312CB6F0">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9" w15:restartNumberingAfterBreak="0">
    <w:nsid w:val="322C025A"/>
    <w:multiLevelType w:val="hybridMultilevel"/>
    <w:tmpl w:val="A9A6D8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71275A6"/>
    <w:multiLevelType w:val="hybridMultilevel"/>
    <w:tmpl w:val="7D5A4D82"/>
    <w:lvl w:ilvl="0" w:tplc="300A000D">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1" w15:restartNumberingAfterBreak="0">
    <w:nsid w:val="3C123A9E"/>
    <w:multiLevelType w:val="hybridMultilevel"/>
    <w:tmpl w:val="CF5EEA48"/>
    <w:lvl w:ilvl="0" w:tplc="5FC0A866">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22" w15:restartNumberingAfterBreak="0">
    <w:nsid w:val="3C555C45"/>
    <w:multiLevelType w:val="hybridMultilevel"/>
    <w:tmpl w:val="78C8FF7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3" w15:restartNumberingAfterBreak="0">
    <w:nsid w:val="42127D07"/>
    <w:multiLevelType w:val="hybridMultilevel"/>
    <w:tmpl w:val="A9F0FF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C6D382C"/>
    <w:multiLevelType w:val="hybridMultilevel"/>
    <w:tmpl w:val="779048EA"/>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D3707BF"/>
    <w:multiLevelType w:val="multilevel"/>
    <w:tmpl w:val="5E7A0A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E0269C2"/>
    <w:multiLevelType w:val="multilevel"/>
    <w:tmpl w:val="11624F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002135F"/>
    <w:multiLevelType w:val="hybridMultilevel"/>
    <w:tmpl w:val="C52803E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0A765C9"/>
    <w:multiLevelType w:val="hybridMultilevel"/>
    <w:tmpl w:val="71A8D1D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9" w15:restartNumberingAfterBreak="0">
    <w:nsid w:val="55A267C3"/>
    <w:multiLevelType w:val="hybridMultilevel"/>
    <w:tmpl w:val="BCD26910"/>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0" w15:restartNumberingAfterBreak="0">
    <w:nsid w:val="577E56A6"/>
    <w:multiLevelType w:val="hybridMultilevel"/>
    <w:tmpl w:val="EEA6E404"/>
    <w:lvl w:ilvl="0" w:tplc="300A001B">
      <w:start w:val="1"/>
      <w:numFmt w:val="lowerRoman"/>
      <w:lvlText w:val="%1."/>
      <w:lvlJc w:val="right"/>
      <w:pPr>
        <w:ind w:left="928" w:hanging="360"/>
      </w:pPr>
      <w:rPr>
        <w:rFont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1" w15:restartNumberingAfterBreak="0">
    <w:nsid w:val="58142D89"/>
    <w:multiLevelType w:val="hybridMultilevel"/>
    <w:tmpl w:val="22B26F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85A4D2B"/>
    <w:multiLevelType w:val="hybridMultilevel"/>
    <w:tmpl w:val="9CE81A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A5001CB"/>
    <w:multiLevelType w:val="hybridMultilevel"/>
    <w:tmpl w:val="03E4BE70"/>
    <w:lvl w:ilvl="0" w:tplc="300A001B">
      <w:start w:val="1"/>
      <w:numFmt w:val="lowerRoman"/>
      <w:lvlText w:val="%1."/>
      <w:lvlJc w:val="righ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4" w15:restartNumberingAfterBreak="0">
    <w:nsid w:val="61791F50"/>
    <w:multiLevelType w:val="hybridMultilevel"/>
    <w:tmpl w:val="0724629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15:restartNumberingAfterBreak="0">
    <w:nsid w:val="618B4C32"/>
    <w:multiLevelType w:val="hybridMultilevel"/>
    <w:tmpl w:val="AB568FB2"/>
    <w:lvl w:ilvl="0" w:tplc="300A000D">
      <w:start w:val="1"/>
      <w:numFmt w:val="bullet"/>
      <w:lvlText w:val=""/>
      <w:lvlJc w:val="left"/>
      <w:pPr>
        <w:ind w:left="1724" w:hanging="360"/>
      </w:pPr>
      <w:rPr>
        <w:rFonts w:ascii="Wingdings" w:hAnsi="Wingdings" w:hint="default"/>
      </w:rPr>
    </w:lvl>
    <w:lvl w:ilvl="1" w:tplc="300A0003" w:tentative="1">
      <w:start w:val="1"/>
      <w:numFmt w:val="bullet"/>
      <w:lvlText w:val="o"/>
      <w:lvlJc w:val="left"/>
      <w:pPr>
        <w:ind w:left="2444" w:hanging="360"/>
      </w:pPr>
      <w:rPr>
        <w:rFonts w:ascii="Courier New" w:hAnsi="Courier New" w:cs="Courier New" w:hint="default"/>
      </w:rPr>
    </w:lvl>
    <w:lvl w:ilvl="2" w:tplc="300A0005" w:tentative="1">
      <w:start w:val="1"/>
      <w:numFmt w:val="bullet"/>
      <w:lvlText w:val=""/>
      <w:lvlJc w:val="left"/>
      <w:pPr>
        <w:ind w:left="3164" w:hanging="360"/>
      </w:pPr>
      <w:rPr>
        <w:rFonts w:ascii="Wingdings" w:hAnsi="Wingdings" w:hint="default"/>
      </w:rPr>
    </w:lvl>
    <w:lvl w:ilvl="3" w:tplc="300A0001" w:tentative="1">
      <w:start w:val="1"/>
      <w:numFmt w:val="bullet"/>
      <w:lvlText w:val=""/>
      <w:lvlJc w:val="left"/>
      <w:pPr>
        <w:ind w:left="3884" w:hanging="360"/>
      </w:pPr>
      <w:rPr>
        <w:rFonts w:ascii="Symbol" w:hAnsi="Symbol" w:hint="default"/>
      </w:rPr>
    </w:lvl>
    <w:lvl w:ilvl="4" w:tplc="300A0003" w:tentative="1">
      <w:start w:val="1"/>
      <w:numFmt w:val="bullet"/>
      <w:lvlText w:val="o"/>
      <w:lvlJc w:val="left"/>
      <w:pPr>
        <w:ind w:left="4604" w:hanging="360"/>
      </w:pPr>
      <w:rPr>
        <w:rFonts w:ascii="Courier New" w:hAnsi="Courier New" w:cs="Courier New" w:hint="default"/>
      </w:rPr>
    </w:lvl>
    <w:lvl w:ilvl="5" w:tplc="300A0005" w:tentative="1">
      <w:start w:val="1"/>
      <w:numFmt w:val="bullet"/>
      <w:lvlText w:val=""/>
      <w:lvlJc w:val="left"/>
      <w:pPr>
        <w:ind w:left="5324" w:hanging="360"/>
      </w:pPr>
      <w:rPr>
        <w:rFonts w:ascii="Wingdings" w:hAnsi="Wingdings" w:hint="default"/>
      </w:rPr>
    </w:lvl>
    <w:lvl w:ilvl="6" w:tplc="300A0001" w:tentative="1">
      <w:start w:val="1"/>
      <w:numFmt w:val="bullet"/>
      <w:lvlText w:val=""/>
      <w:lvlJc w:val="left"/>
      <w:pPr>
        <w:ind w:left="6044" w:hanging="360"/>
      </w:pPr>
      <w:rPr>
        <w:rFonts w:ascii="Symbol" w:hAnsi="Symbol" w:hint="default"/>
      </w:rPr>
    </w:lvl>
    <w:lvl w:ilvl="7" w:tplc="300A0003" w:tentative="1">
      <w:start w:val="1"/>
      <w:numFmt w:val="bullet"/>
      <w:lvlText w:val="o"/>
      <w:lvlJc w:val="left"/>
      <w:pPr>
        <w:ind w:left="6764" w:hanging="360"/>
      </w:pPr>
      <w:rPr>
        <w:rFonts w:ascii="Courier New" w:hAnsi="Courier New" w:cs="Courier New" w:hint="default"/>
      </w:rPr>
    </w:lvl>
    <w:lvl w:ilvl="8" w:tplc="300A0005" w:tentative="1">
      <w:start w:val="1"/>
      <w:numFmt w:val="bullet"/>
      <w:lvlText w:val=""/>
      <w:lvlJc w:val="left"/>
      <w:pPr>
        <w:ind w:left="7484" w:hanging="360"/>
      </w:pPr>
      <w:rPr>
        <w:rFonts w:ascii="Wingdings" w:hAnsi="Wingdings" w:hint="default"/>
      </w:rPr>
    </w:lvl>
  </w:abstractNum>
  <w:abstractNum w:abstractNumId="36" w15:restartNumberingAfterBreak="0">
    <w:nsid w:val="6C9E263B"/>
    <w:multiLevelType w:val="hybridMultilevel"/>
    <w:tmpl w:val="9FF2A72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7" w15:restartNumberingAfterBreak="0">
    <w:nsid w:val="6EA80058"/>
    <w:multiLevelType w:val="hybridMultilevel"/>
    <w:tmpl w:val="7E04F0AA"/>
    <w:lvl w:ilvl="0" w:tplc="300A0001">
      <w:start w:val="1"/>
      <w:numFmt w:val="bullet"/>
      <w:lvlText w:val=""/>
      <w:lvlJc w:val="left"/>
      <w:pPr>
        <w:ind w:left="1428" w:hanging="360"/>
      </w:pPr>
      <w:rPr>
        <w:rFonts w:ascii="Symbol" w:hAnsi="Symbol" w:hint="default"/>
        <w:b/>
        <w:bCs/>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38" w15:restartNumberingAfterBreak="0">
    <w:nsid w:val="74AF2E1A"/>
    <w:multiLevelType w:val="hybridMultilevel"/>
    <w:tmpl w:val="CDEEBD4E"/>
    <w:lvl w:ilvl="0" w:tplc="300A000D">
      <w:start w:val="1"/>
      <w:numFmt w:val="bullet"/>
      <w:lvlText w:val=""/>
      <w:lvlJc w:val="left"/>
      <w:pPr>
        <w:ind w:left="1004" w:hanging="360"/>
      </w:pPr>
      <w:rPr>
        <w:rFonts w:ascii="Wingdings" w:hAnsi="Wingdings"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9" w15:restartNumberingAfterBreak="0">
    <w:nsid w:val="79ED5C89"/>
    <w:multiLevelType w:val="hybridMultilevel"/>
    <w:tmpl w:val="72D4A0C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2"/>
  </w:num>
  <w:num w:numId="2">
    <w:abstractNumId w:val="33"/>
  </w:num>
  <w:num w:numId="3">
    <w:abstractNumId w:val="18"/>
  </w:num>
  <w:num w:numId="4">
    <w:abstractNumId w:val="21"/>
  </w:num>
  <w:num w:numId="5">
    <w:abstractNumId w:val="3"/>
  </w:num>
  <w:num w:numId="6">
    <w:abstractNumId w:val="30"/>
  </w:num>
  <w:num w:numId="7">
    <w:abstractNumId w:val="25"/>
  </w:num>
  <w:num w:numId="8">
    <w:abstractNumId w:val="1"/>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num>
  <w:num w:numId="13">
    <w:abstractNumId w:val="10"/>
  </w:num>
  <w:num w:numId="14">
    <w:abstractNumId w:val="5"/>
  </w:num>
  <w:num w:numId="15">
    <w:abstractNumId w:val="9"/>
  </w:num>
  <w:num w:numId="16">
    <w:abstractNumId w:val="13"/>
  </w:num>
  <w:num w:numId="17">
    <w:abstractNumId w:val="26"/>
  </w:num>
  <w:num w:numId="18">
    <w:abstractNumId w:val="19"/>
  </w:num>
  <w:num w:numId="19">
    <w:abstractNumId w:val="15"/>
  </w:num>
  <w:num w:numId="20">
    <w:abstractNumId w:val="23"/>
  </w:num>
  <w:num w:numId="21">
    <w:abstractNumId w:val="8"/>
  </w:num>
  <w:num w:numId="22">
    <w:abstractNumId w:val="32"/>
  </w:num>
  <w:num w:numId="23">
    <w:abstractNumId w:val="16"/>
  </w:num>
  <w:num w:numId="24">
    <w:abstractNumId w:val="39"/>
  </w:num>
  <w:num w:numId="25">
    <w:abstractNumId w:val="37"/>
  </w:num>
  <w:num w:numId="26">
    <w:abstractNumId w:val="14"/>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34"/>
  </w:num>
  <w:num w:numId="30">
    <w:abstractNumId w:val="27"/>
  </w:num>
  <w:num w:numId="31">
    <w:abstractNumId w:val="17"/>
  </w:num>
  <w:num w:numId="32">
    <w:abstractNumId w:val="29"/>
  </w:num>
  <w:num w:numId="33">
    <w:abstractNumId w:val="4"/>
  </w:num>
  <w:num w:numId="34">
    <w:abstractNumId w:val="7"/>
  </w:num>
  <w:num w:numId="35">
    <w:abstractNumId w:val="24"/>
  </w:num>
  <w:num w:numId="36">
    <w:abstractNumId w:val="11"/>
  </w:num>
  <w:num w:numId="37">
    <w:abstractNumId w:val="38"/>
  </w:num>
  <w:num w:numId="38">
    <w:abstractNumId w:val="2"/>
  </w:num>
  <w:num w:numId="39">
    <w:abstractNumId w:val="20"/>
  </w:num>
  <w:num w:numId="40">
    <w:abstractNumId w:val="0"/>
  </w:num>
  <w:num w:numId="41">
    <w:abstractNumId w:val="35"/>
  </w:num>
  <w:num w:numId="4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CF4"/>
    <w:rsid w:val="00002B27"/>
    <w:rsid w:val="00013828"/>
    <w:rsid w:val="00015A03"/>
    <w:rsid w:val="00015E0F"/>
    <w:rsid w:val="00024134"/>
    <w:rsid w:val="00046F93"/>
    <w:rsid w:val="00050151"/>
    <w:rsid w:val="0005516E"/>
    <w:rsid w:val="00055214"/>
    <w:rsid w:val="00073D80"/>
    <w:rsid w:val="00075C6F"/>
    <w:rsid w:val="00081306"/>
    <w:rsid w:val="000831F9"/>
    <w:rsid w:val="00093644"/>
    <w:rsid w:val="0009570E"/>
    <w:rsid w:val="000971BD"/>
    <w:rsid w:val="000A0049"/>
    <w:rsid w:val="000A1519"/>
    <w:rsid w:val="000A55EF"/>
    <w:rsid w:val="000B43CA"/>
    <w:rsid w:val="000C29B7"/>
    <w:rsid w:val="000C706C"/>
    <w:rsid w:val="000D545D"/>
    <w:rsid w:val="000D6C6F"/>
    <w:rsid w:val="000D7F0D"/>
    <w:rsid w:val="000E4DB3"/>
    <w:rsid w:val="000F5978"/>
    <w:rsid w:val="000F7F13"/>
    <w:rsid w:val="00100C8C"/>
    <w:rsid w:val="00102975"/>
    <w:rsid w:val="00102DDF"/>
    <w:rsid w:val="00120A9D"/>
    <w:rsid w:val="00125E9E"/>
    <w:rsid w:val="00132359"/>
    <w:rsid w:val="001339E0"/>
    <w:rsid w:val="0014200A"/>
    <w:rsid w:val="001606E5"/>
    <w:rsid w:val="001623BC"/>
    <w:rsid w:val="001710B6"/>
    <w:rsid w:val="0017271E"/>
    <w:rsid w:val="0018128E"/>
    <w:rsid w:val="001823F5"/>
    <w:rsid w:val="0018587B"/>
    <w:rsid w:val="001975FD"/>
    <w:rsid w:val="001A1F84"/>
    <w:rsid w:val="001A2CA0"/>
    <w:rsid w:val="001B6624"/>
    <w:rsid w:val="001C2CC6"/>
    <w:rsid w:val="001C3E1C"/>
    <w:rsid w:val="001C4140"/>
    <w:rsid w:val="001C6D0B"/>
    <w:rsid w:val="001D2B2A"/>
    <w:rsid w:val="001E4FE8"/>
    <w:rsid w:val="001E7C6E"/>
    <w:rsid w:val="001F02C9"/>
    <w:rsid w:val="001F44DB"/>
    <w:rsid w:val="001F4DE3"/>
    <w:rsid w:val="001F76FF"/>
    <w:rsid w:val="00201CE1"/>
    <w:rsid w:val="0020306C"/>
    <w:rsid w:val="00204203"/>
    <w:rsid w:val="00207599"/>
    <w:rsid w:val="00221176"/>
    <w:rsid w:val="00225AE4"/>
    <w:rsid w:val="002278AE"/>
    <w:rsid w:val="00232C60"/>
    <w:rsid w:val="00240649"/>
    <w:rsid w:val="00241E72"/>
    <w:rsid w:val="00242ADB"/>
    <w:rsid w:val="002502E1"/>
    <w:rsid w:val="00253269"/>
    <w:rsid w:val="002573A0"/>
    <w:rsid w:val="00257507"/>
    <w:rsid w:val="00257516"/>
    <w:rsid w:val="00260CF4"/>
    <w:rsid w:val="00274884"/>
    <w:rsid w:val="00294FA2"/>
    <w:rsid w:val="00297841"/>
    <w:rsid w:val="002B47EB"/>
    <w:rsid w:val="002B7F7E"/>
    <w:rsid w:val="002C0557"/>
    <w:rsid w:val="002C0951"/>
    <w:rsid w:val="002D3A6E"/>
    <w:rsid w:val="002D5415"/>
    <w:rsid w:val="002E20EC"/>
    <w:rsid w:val="002E4E1E"/>
    <w:rsid w:val="002E6747"/>
    <w:rsid w:val="003006A0"/>
    <w:rsid w:val="00302294"/>
    <w:rsid w:val="003025B3"/>
    <w:rsid w:val="00303181"/>
    <w:rsid w:val="0030346C"/>
    <w:rsid w:val="00312185"/>
    <w:rsid w:val="003144C4"/>
    <w:rsid w:val="0032100D"/>
    <w:rsid w:val="0032205F"/>
    <w:rsid w:val="003322E1"/>
    <w:rsid w:val="003363C2"/>
    <w:rsid w:val="00336F61"/>
    <w:rsid w:val="0034696E"/>
    <w:rsid w:val="00346D73"/>
    <w:rsid w:val="00352326"/>
    <w:rsid w:val="003539EF"/>
    <w:rsid w:val="00354301"/>
    <w:rsid w:val="00361FD9"/>
    <w:rsid w:val="00363082"/>
    <w:rsid w:val="00364430"/>
    <w:rsid w:val="0036449A"/>
    <w:rsid w:val="003667E3"/>
    <w:rsid w:val="00372D57"/>
    <w:rsid w:val="00372D61"/>
    <w:rsid w:val="003804D7"/>
    <w:rsid w:val="00381626"/>
    <w:rsid w:val="00383550"/>
    <w:rsid w:val="00385928"/>
    <w:rsid w:val="00391FFB"/>
    <w:rsid w:val="003922C2"/>
    <w:rsid w:val="00395F0F"/>
    <w:rsid w:val="003A247D"/>
    <w:rsid w:val="003A4898"/>
    <w:rsid w:val="003A6548"/>
    <w:rsid w:val="003B2996"/>
    <w:rsid w:val="003C44CF"/>
    <w:rsid w:val="003C70D0"/>
    <w:rsid w:val="003D1A09"/>
    <w:rsid w:val="003D2DDA"/>
    <w:rsid w:val="003D331E"/>
    <w:rsid w:val="003E3692"/>
    <w:rsid w:val="003E535F"/>
    <w:rsid w:val="003E56A4"/>
    <w:rsid w:val="003F1B18"/>
    <w:rsid w:val="003F3CA7"/>
    <w:rsid w:val="00402C29"/>
    <w:rsid w:val="00402FDE"/>
    <w:rsid w:val="0040622D"/>
    <w:rsid w:val="004062EB"/>
    <w:rsid w:val="00407809"/>
    <w:rsid w:val="00413450"/>
    <w:rsid w:val="00431436"/>
    <w:rsid w:val="0043143F"/>
    <w:rsid w:val="00442BF4"/>
    <w:rsid w:val="00442C44"/>
    <w:rsid w:val="00445451"/>
    <w:rsid w:val="004515E0"/>
    <w:rsid w:val="00455B6A"/>
    <w:rsid w:val="00456E9F"/>
    <w:rsid w:val="004605EA"/>
    <w:rsid w:val="00463664"/>
    <w:rsid w:val="00464DAA"/>
    <w:rsid w:val="0047111F"/>
    <w:rsid w:val="00481F89"/>
    <w:rsid w:val="00491135"/>
    <w:rsid w:val="004973A3"/>
    <w:rsid w:val="00497A54"/>
    <w:rsid w:val="00497FA1"/>
    <w:rsid w:val="004A0092"/>
    <w:rsid w:val="004A03AD"/>
    <w:rsid w:val="004A2AE2"/>
    <w:rsid w:val="004B0390"/>
    <w:rsid w:val="004B2468"/>
    <w:rsid w:val="004C6265"/>
    <w:rsid w:val="004D11DE"/>
    <w:rsid w:val="004D5A40"/>
    <w:rsid w:val="004E51BC"/>
    <w:rsid w:val="004E7619"/>
    <w:rsid w:val="004F14FB"/>
    <w:rsid w:val="004F3D7B"/>
    <w:rsid w:val="005045A1"/>
    <w:rsid w:val="005047FE"/>
    <w:rsid w:val="005109D5"/>
    <w:rsid w:val="00510B2E"/>
    <w:rsid w:val="00514CD1"/>
    <w:rsid w:val="0051555A"/>
    <w:rsid w:val="00520299"/>
    <w:rsid w:val="005348C0"/>
    <w:rsid w:val="005350F3"/>
    <w:rsid w:val="005367DB"/>
    <w:rsid w:val="00537D0F"/>
    <w:rsid w:val="00542843"/>
    <w:rsid w:val="00546232"/>
    <w:rsid w:val="0055580B"/>
    <w:rsid w:val="00556527"/>
    <w:rsid w:val="00563E74"/>
    <w:rsid w:val="00571717"/>
    <w:rsid w:val="00580DAB"/>
    <w:rsid w:val="00582E07"/>
    <w:rsid w:val="00585C06"/>
    <w:rsid w:val="00587F1F"/>
    <w:rsid w:val="00593509"/>
    <w:rsid w:val="005A1FD7"/>
    <w:rsid w:val="005A337E"/>
    <w:rsid w:val="005A5893"/>
    <w:rsid w:val="005B3466"/>
    <w:rsid w:val="005C0375"/>
    <w:rsid w:val="005C1B2E"/>
    <w:rsid w:val="005C24F1"/>
    <w:rsid w:val="005D6B79"/>
    <w:rsid w:val="005E38A6"/>
    <w:rsid w:val="00602192"/>
    <w:rsid w:val="00605137"/>
    <w:rsid w:val="00610BE9"/>
    <w:rsid w:val="00621325"/>
    <w:rsid w:val="00621881"/>
    <w:rsid w:val="0062422C"/>
    <w:rsid w:val="0063174B"/>
    <w:rsid w:val="0063575E"/>
    <w:rsid w:val="00644918"/>
    <w:rsid w:val="00646A57"/>
    <w:rsid w:val="00655708"/>
    <w:rsid w:val="00655F3C"/>
    <w:rsid w:val="00656472"/>
    <w:rsid w:val="006640CD"/>
    <w:rsid w:val="006700FB"/>
    <w:rsid w:val="00673033"/>
    <w:rsid w:val="00677DAB"/>
    <w:rsid w:val="006869D4"/>
    <w:rsid w:val="00691CD3"/>
    <w:rsid w:val="006A122D"/>
    <w:rsid w:val="006A19D7"/>
    <w:rsid w:val="006A6BD9"/>
    <w:rsid w:val="006A74D3"/>
    <w:rsid w:val="006B7AE3"/>
    <w:rsid w:val="006C09A5"/>
    <w:rsid w:val="006C72DA"/>
    <w:rsid w:val="006D6383"/>
    <w:rsid w:val="006E1519"/>
    <w:rsid w:val="006E28C1"/>
    <w:rsid w:val="006E29D1"/>
    <w:rsid w:val="006E653B"/>
    <w:rsid w:val="006E6D21"/>
    <w:rsid w:val="006F05E0"/>
    <w:rsid w:val="006F06AD"/>
    <w:rsid w:val="006F746A"/>
    <w:rsid w:val="007035BF"/>
    <w:rsid w:val="00703E80"/>
    <w:rsid w:val="007046CD"/>
    <w:rsid w:val="007059A8"/>
    <w:rsid w:val="00710AF7"/>
    <w:rsid w:val="00711961"/>
    <w:rsid w:val="007119A3"/>
    <w:rsid w:val="0071335F"/>
    <w:rsid w:val="00715292"/>
    <w:rsid w:val="00715DDE"/>
    <w:rsid w:val="0072428E"/>
    <w:rsid w:val="0073392D"/>
    <w:rsid w:val="00740C09"/>
    <w:rsid w:val="00743E98"/>
    <w:rsid w:val="00745B20"/>
    <w:rsid w:val="007529F5"/>
    <w:rsid w:val="007604A4"/>
    <w:rsid w:val="00761B47"/>
    <w:rsid w:val="00763CF7"/>
    <w:rsid w:val="00766366"/>
    <w:rsid w:val="00767BBB"/>
    <w:rsid w:val="00775752"/>
    <w:rsid w:val="00775B12"/>
    <w:rsid w:val="00785A77"/>
    <w:rsid w:val="00795264"/>
    <w:rsid w:val="0079683E"/>
    <w:rsid w:val="007B08E2"/>
    <w:rsid w:val="007B6525"/>
    <w:rsid w:val="007B731E"/>
    <w:rsid w:val="007C1C85"/>
    <w:rsid w:val="007C2882"/>
    <w:rsid w:val="007C430C"/>
    <w:rsid w:val="007C66F9"/>
    <w:rsid w:val="007D44F1"/>
    <w:rsid w:val="007E06BC"/>
    <w:rsid w:val="008025D7"/>
    <w:rsid w:val="00803829"/>
    <w:rsid w:val="00833914"/>
    <w:rsid w:val="00845CC5"/>
    <w:rsid w:val="00847797"/>
    <w:rsid w:val="00851DB9"/>
    <w:rsid w:val="00852785"/>
    <w:rsid w:val="00855398"/>
    <w:rsid w:val="00864ACB"/>
    <w:rsid w:val="00865D25"/>
    <w:rsid w:val="00866AF8"/>
    <w:rsid w:val="00870502"/>
    <w:rsid w:val="00870A7F"/>
    <w:rsid w:val="00886C9F"/>
    <w:rsid w:val="00891D9A"/>
    <w:rsid w:val="0089566D"/>
    <w:rsid w:val="008A3BF9"/>
    <w:rsid w:val="008B2645"/>
    <w:rsid w:val="008B2719"/>
    <w:rsid w:val="008B7CDA"/>
    <w:rsid w:val="008C1B01"/>
    <w:rsid w:val="008C2ECA"/>
    <w:rsid w:val="008C61BB"/>
    <w:rsid w:val="008D2D39"/>
    <w:rsid w:val="008D609B"/>
    <w:rsid w:val="008E25B4"/>
    <w:rsid w:val="008E280F"/>
    <w:rsid w:val="008F5B56"/>
    <w:rsid w:val="008F6BBD"/>
    <w:rsid w:val="00902987"/>
    <w:rsid w:val="00906D8B"/>
    <w:rsid w:val="009076DF"/>
    <w:rsid w:val="00910028"/>
    <w:rsid w:val="009102F5"/>
    <w:rsid w:val="009144FA"/>
    <w:rsid w:val="009149C9"/>
    <w:rsid w:val="00920D5C"/>
    <w:rsid w:val="00922EF7"/>
    <w:rsid w:val="00923034"/>
    <w:rsid w:val="00925BB0"/>
    <w:rsid w:val="0093149A"/>
    <w:rsid w:val="009442C6"/>
    <w:rsid w:val="0094664F"/>
    <w:rsid w:val="0095314A"/>
    <w:rsid w:val="00957E2B"/>
    <w:rsid w:val="00962162"/>
    <w:rsid w:val="00963294"/>
    <w:rsid w:val="00964D97"/>
    <w:rsid w:val="00974FFE"/>
    <w:rsid w:val="00986259"/>
    <w:rsid w:val="00993B93"/>
    <w:rsid w:val="009A1474"/>
    <w:rsid w:val="009A2774"/>
    <w:rsid w:val="009B147F"/>
    <w:rsid w:val="009B2A8C"/>
    <w:rsid w:val="009E7B65"/>
    <w:rsid w:val="009E7C6C"/>
    <w:rsid w:val="00A00139"/>
    <w:rsid w:val="00A02D74"/>
    <w:rsid w:val="00A037CD"/>
    <w:rsid w:val="00A03B15"/>
    <w:rsid w:val="00A066F9"/>
    <w:rsid w:val="00A10C53"/>
    <w:rsid w:val="00A130F0"/>
    <w:rsid w:val="00A162EE"/>
    <w:rsid w:val="00A16A57"/>
    <w:rsid w:val="00A17545"/>
    <w:rsid w:val="00A25528"/>
    <w:rsid w:val="00A40468"/>
    <w:rsid w:val="00A448B7"/>
    <w:rsid w:val="00A52371"/>
    <w:rsid w:val="00A52D8C"/>
    <w:rsid w:val="00A56407"/>
    <w:rsid w:val="00A609A1"/>
    <w:rsid w:val="00A621A3"/>
    <w:rsid w:val="00A657B0"/>
    <w:rsid w:val="00A71F7A"/>
    <w:rsid w:val="00A72365"/>
    <w:rsid w:val="00A72B47"/>
    <w:rsid w:val="00A73FD3"/>
    <w:rsid w:val="00A74CAC"/>
    <w:rsid w:val="00A81A90"/>
    <w:rsid w:val="00A87E09"/>
    <w:rsid w:val="00A93455"/>
    <w:rsid w:val="00AA15BC"/>
    <w:rsid w:val="00AA3080"/>
    <w:rsid w:val="00AA3533"/>
    <w:rsid w:val="00AA4108"/>
    <w:rsid w:val="00AA6337"/>
    <w:rsid w:val="00AB2A85"/>
    <w:rsid w:val="00AC12C6"/>
    <w:rsid w:val="00AC533B"/>
    <w:rsid w:val="00AD29AD"/>
    <w:rsid w:val="00AD444E"/>
    <w:rsid w:val="00AD538D"/>
    <w:rsid w:val="00AD6C71"/>
    <w:rsid w:val="00AE0CAF"/>
    <w:rsid w:val="00AE401A"/>
    <w:rsid w:val="00AE70DC"/>
    <w:rsid w:val="00AF2611"/>
    <w:rsid w:val="00AF3F44"/>
    <w:rsid w:val="00AF68C7"/>
    <w:rsid w:val="00B05143"/>
    <w:rsid w:val="00B05DB5"/>
    <w:rsid w:val="00B163BA"/>
    <w:rsid w:val="00B20D20"/>
    <w:rsid w:val="00B25300"/>
    <w:rsid w:val="00B266C4"/>
    <w:rsid w:val="00B320E5"/>
    <w:rsid w:val="00B34655"/>
    <w:rsid w:val="00B43966"/>
    <w:rsid w:val="00B454A8"/>
    <w:rsid w:val="00B46566"/>
    <w:rsid w:val="00B46B01"/>
    <w:rsid w:val="00B50F12"/>
    <w:rsid w:val="00B53CC7"/>
    <w:rsid w:val="00B54F84"/>
    <w:rsid w:val="00B60551"/>
    <w:rsid w:val="00B6240F"/>
    <w:rsid w:val="00B62C68"/>
    <w:rsid w:val="00B64F3D"/>
    <w:rsid w:val="00B74C54"/>
    <w:rsid w:val="00B80C84"/>
    <w:rsid w:val="00B8271A"/>
    <w:rsid w:val="00B83317"/>
    <w:rsid w:val="00B87933"/>
    <w:rsid w:val="00B946EC"/>
    <w:rsid w:val="00BA1042"/>
    <w:rsid w:val="00BA77FB"/>
    <w:rsid w:val="00BB14BC"/>
    <w:rsid w:val="00BB3D10"/>
    <w:rsid w:val="00BB5A55"/>
    <w:rsid w:val="00BB5B9B"/>
    <w:rsid w:val="00BC2DB8"/>
    <w:rsid w:val="00BD0177"/>
    <w:rsid w:val="00BD1D4B"/>
    <w:rsid w:val="00BD338C"/>
    <w:rsid w:val="00BF1710"/>
    <w:rsid w:val="00BF3533"/>
    <w:rsid w:val="00C024FF"/>
    <w:rsid w:val="00C032B4"/>
    <w:rsid w:val="00C13486"/>
    <w:rsid w:val="00C14B9D"/>
    <w:rsid w:val="00C21A36"/>
    <w:rsid w:val="00C32988"/>
    <w:rsid w:val="00C337A9"/>
    <w:rsid w:val="00C3725F"/>
    <w:rsid w:val="00C43BF2"/>
    <w:rsid w:val="00C44A98"/>
    <w:rsid w:val="00C57044"/>
    <w:rsid w:val="00C63581"/>
    <w:rsid w:val="00C657F7"/>
    <w:rsid w:val="00C71DC8"/>
    <w:rsid w:val="00C73AA1"/>
    <w:rsid w:val="00C745BC"/>
    <w:rsid w:val="00C820A7"/>
    <w:rsid w:val="00C8377A"/>
    <w:rsid w:val="00C849FA"/>
    <w:rsid w:val="00C95F3B"/>
    <w:rsid w:val="00C963BF"/>
    <w:rsid w:val="00CA066E"/>
    <w:rsid w:val="00CA1854"/>
    <w:rsid w:val="00CA1BBF"/>
    <w:rsid w:val="00CA3CD9"/>
    <w:rsid w:val="00CB2400"/>
    <w:rsid w:val="00CB46A1"/>
    <w:rsid w:val="00CC09D0"/>
    <w:rsid w:val="00CC2405"/>
    <w:rsid w:val="00CC2BB6"/>
    <w:rsid w:val="00CD76B5"/>
    <w:rsid w:val="00CE1A48"/>
    <w:rsid w:val="00D04547"/>
    <w:rsid w:val="00D06B28"/>
    <w:rsid w:val="00D1443B"/>
    <w:rsid w:val="00D17E50"/>
    <w:rsid w:val="00D20E92"/>
    <w:rsid w:val="00D21727"/>
    <w:rsid w:val="00D23096"/>
    <w:rsid w:val="00D238C2"/>
    <w:rsid w:val="00D23C8B"/>
    <w:rsid w:val="00D24F21"/>
    <w:rsid w:val="00D250DE"/>
    <w:rsid w:val="00D37AF6"/>
    <w:rsid w:val="00D4296C"/>
    <w:rsid w:val="00D4332E"/>
    <w:rsid w:val="00D440A1"/>
    <w:rsid w:val="00D5083D"/>
    <w:rsid w:val="00D51B9E"/>
    <w:rsid w:val="00D54C65"/>
    <w:rsid w:val="00D63383"/>
    <w:rsid w:val="00D65790"/>
    <w:rsid w:val="00D73A2E"/>
    <w:rsid w:val="00D73C3A"/>
    <w:rsid w:val="00D7578F"/>
    <w:rsid w:val="00D90B03"/>
    <w:rsid w:val="00D94553"/>
    <w:rsid w:val="00D957E3"/>
    <w:rsid w:val="00D9590D"/>
    <w:rsid w:val="00D95C0F"/>
    <w:rsid w:val="00DA0766"/>
    <w:rsid w:val="00DA3C10"/>
    <w:rsid w:val="00DC0749"/>
    <w:rsid w:val="00DC3F20"/>
    <w:rsid w:val="00DE0F68"/>
    <w:rsid w:val="00DE145A"/>
    <w:rsid w:val="00DE145B"/>
    <w:rsid w:val="00DE15DC"/>
    <w:rsid w:val="00DE42D8"/>
    <w:rsid w:val="00DE67F4"/>
    <w:rsid w:val="00DF0550"/>
    <w:rsid w:val="00E017AF"/>
    <w:rsid w:val="00E067E3"/>
    <w:rsid w:val="00E075EB"/>
    <w:rsid w:val="00E076FC"/>
    <w:rsid w:val="00E24CE4"/>
    <w:rsid w:val="00E32E84"/>
    <w:rsid w:val="00E34701"/>
    <w:rsid w:val="00E35C46"/>
    <w:rsid w:val="00E40D22"/>
    <w:rsid w:val="00E424AF"/>
    <w:rsid w:val="00E53A2F"/>
    <w:rsid w:val="00E65A79"/>
    <w:rsid w:val="00E707FD"/>
    <w:rsid w:val="00E77CFA"/>
    <w:rsid w:val="00E82204"/>
    <w:rsid w:val="00E841AA"/>
    <w:rsid w:val="00E84D93"/>
    <w:rsid w:val="00E851C4"/>
    <w:rsid w:val="00E860E3"/>
    <w:rsid w:val="00E949D9"/>
    <w:rsid w:val="00E95D56"/>
    <w:rsid w:val="00EA2914"/>
    <w:rsid w:val="00EA47CF"/>
    <w:rsid w:val="00EB53D0"/>
    <w:rsid w:val="00EC06B7"/>
    <w:rsid w:val="00EC2D1B"/>
    <w:rsid w:val="00EC594C"/>
    <w:rsid w:val="00ED0362"/>
    <w:rsid w:val="00ED19E0"/>
    <w:rsid w:val="00ED1B07"/>
    <w:rsid w:val="00EE0BCB"/>
    <w:rsid w:val="00EE0FBD"/>
    <w:rsid w:val="00EE168F"/>
    <w:rsid w:val="00EE5195"/>
    <w:rsid w:val="00EE739C"/>
    <w:rsid w:val="00F04A0C"/>
    <w:rsid w:val="00F13A4A"/>
    <w:rsid w:val="00F312C0"/>
    <w:rsid w:val="00F3193E"/>
    <w:rsid w:val="00F35158"/>
    <w:rsid w:val="00F42B6C"/>
    <w:rsid w:val="00F45B72"/>
    <w:rsid w:val="00F5017D"/>
    <w:rsid w:val="00F55AFB"/>
    <w:rsid w:val="00F567C6"/>
    <w:rsid w:val="00F618AB"/>
    <w:rsid w:val="00F64379"/>
    <w:rsid w:val="00F75205"/>
    <w:rsid w:val="00F76DFD"/>
    <w:rsid w:val="00F772BC"/>
    <w:rsid w:val="00F8225C"/>
    <w:rsid w:val="00F83D0D"/>
    <w:rsid w:val="00F92FA9"/>
    <w:rsid w:val="00F92FC3"/>
    <w:rsid w:val="00FA30D1"/>
    <w:rsid w:val="00FA54AC"/>
    <w:rsid w:val="00FA5709"/>
    <w:rsid w:val="00FA66EA"/>
    <w:rsid w:val="00FB2753"/>
    <w:rsid w:val="00FC02EA"/>
    <w:rsid w:val="00FC1321"/>
    <w:rsid w:val="00FC2C02"/>
    <w:rsid w:val="00FC6A85"/>
    <w:rsid w:val="00FC7330"/>
    <w:rsid w:val="00FC7840"/>
    <w:rsid w:val="00FD5F5F"/>
    <w:rsid w:val="00FD6C7C"/>
    <w:rsid w:val="00FD79B9"/>
    <w:rsid w:val="00FE379A"/>
    <w:rsid w:val="00FE5196"/>
    <w:rsid w:val="00FE75A2"/>
    <w:rsid w:val="00FF1547"/>
    <w:rsid w:val="00FF23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5482F"/>
  <w15:chartTrackingRefBased/>
  <w15:docId w15:val="{9153247C-5E41-4E89-97DF-9B5ADF9D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90"/>
    <w:pPr>
      <w:spacing w:after="0" w:line="36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A81A90"/>
    <w:pPr>
      <w:keepNext/>
      <w:keepLines/>
      <w:spacing w:line="480" w:lineRule="auto"/>
      <w:ind w:firstLine="0"/>
      <w:jc w:val="left"/>
      <w:outlineLvl w:val="0"/>
    </w:pPr>
    <w:rPr>
      <w:rFonts w:eastAsiaTheme="majorEastAsia" w:cstheme="majorBidi"/>
      <w:b/>
      <w:color w:val="1F3864" w:themeColor="accent1" w:themeShade="80"/>
      <w:szCs w:val="32"/>
    </w:rPr>
  </w:style>
  <w:style w:type="paragraph" w:styleId="Ttulo2">
    <w:name w:val="heading 2"/>
    <w:basedOn w:val="Normal"/>
    <w:next w:val="Normal"/>
    <w:link w:val="Ttulo2Car"/>
    <w:uiPriority w:val="9"/>
    <w:unhideWhenUsed/>
    <w:qFormat/>
    <w:rsid w:val="00546232"/>
    <w:pPr>
      <w:keepNext/>
      <w:keepLines/>
      <w:spacing w:line="480" w:lineRule="auto"/>
      <w:ind w:firstLine="0"/>
      <w:outlineLvl w:val="1"/>
    </w:pPr>
    <w:rPr>
      <w:rFonts w:eastAsiaTheme="majorEastAsia" w:cstheme="majorBidi"/>
      <w:b/>
      <w:color w:val="1F3864" w:themeColor="accent1" w:themeShade="80"/>
      <w:szCs w:val="26"/>
    </w:rPr>
  </w:style>
  <w:style w:type="paragraph" w:styleId="Ttulo3">
    <w:name w:val="heading 3"/>
    <w:basedOn w:val="Normal"/>
    <w:next w:val="Normal"/>
    <w:link w:val="Ttulo3Car"/>
    <w:uiPriority w:val="9"/>
    <w:unhideWhenUsed/>
    <w:qFormat/>
    <w:rsid w:val="005B3466"/>
    <w:pPr>
      <w:keepNext/>
      <w:keepLines/>
      <w:spacing w:line="480" w:lineRule="auto"/>
      <w:outlineLvl w:val="2"/>
    </w:pPr>
    <w:rPr>
      <w:rFonts w:eastAsiaTheme="majorEastAsia" w:cstheme="majorBidi"/>
      <w:b/>
      <w:color w:val="1F3864" w:themeColor="accent1" w:themeShade="80"/>
      <w:szCs w:val="24"/>
    </w:rPr>
  </w:style>
  <w:style w:type="paragraph" w:styleId="Ttulo4">
    <w:name w:val="heading 4"/>
    <w:basedOn w:val="Normal"/>
    <w:next w:val="Normal"/>
    <w:link w:val="Ttulo4Car"/>
    <w:uiPriority w:val="9"/>
    <w:unhideWhenUsed/>
    <w:qFormat/>
    <w:rsid w:val="00891D9A"/>
    <w:pPr>
      <w:keepNext/>
      <w:keepLines/>
      <w:spacing w:line="480" w:lineRule="auto"/>
      <w:outlineLvl w:val="3"/>
    </w:pPr>
    <w:rPr>
      <w:rFonts w:eastAsiaTheme="majorEastAsia" w:cstheme="majorBidi"/>
      <w:b/>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A90"/>
    <w:rPr>
      <w:rFonts w:ascii="Arial" w:eastAsiaTheme="majorEastAsia" w:hAnsi="Arial" w:cstheme="majorBidi"/>
      <w:b/>
      <w:color w:val="1F3864" w:themeColor="accent1" w:themeShade="80"/>
      <w:szCs w:val="32"/>
    </w:rPr>
  </w:style>
  <w:style w:type="character" w:customStyle="1" w:styleId="Ttulo2Car">
    <w:name w:val="Título 2 Car"/>
    <w:basedOn w:val="Fuentedeprrafopredeter"/>
    <w:link w:val="Ttulo2"/>
    <w:uiPriority w:val="9"/>
    <w:rsid w:val="00546232"/>
    <w:rPr>
      <w:rFonts w:ascii="Times New Roman" w:eastAsiaTheme="majorEastAsia" w:hAnsi="Times New Roman" w:cstheme="majorBidi"/>
      <w:b/>
      <w:color w:val="1F3864" w:themeColor="accent1" w:themeShade="80"/>
      <w:sz w:val="24"/>
      <w:szCs w:val="26"/>
    </w:rPr>
  </w:style>
  <w:style w:type="character" w:customStyle="1" w:styleId="Ttulo3Car">
    <w:name w:val="Título 3 Car"/>
    <w:basedOn w:val="Fuentedeprrafopredeter"/>
    <w:link w:val="Ttulo3"/>
    <w:uiPriority w:val="9"/>
    <w:rsid w:val="005B3466"/>
    <w:rPr>
      <w:rFonts w:ascii="Times New Roman" w:eastAsiaTheme="majorEastAsia" w:hAnsi="Times New Roman" w:cstheme="majorBidi"/>
      <w:b/>
      <w:color w:val="1F3864" w:themeColor="accent1" w:themeShade="80"/>
      <w:sz w:val="24"/>
      <w:szCs w:val="24"/>
    </w:rPr>
  </w:style>
  <w:style w:type="paragraph" w:styleId="Prrafodelista">
    <w:name w:val="List Paragraph"/>
    <w:basedOn w:val="Normal"/>
    <w:uiPriority w:val="34"/>
    <w:qFormat/>
    <w:rsid w:val="00703E80"/>
    <w:pPr>
      <w:ind w:left="720"/>
      <w:contextualSpacing/>
    </w:pPr>
  </w:style>
  <w:style w:type="table" w:styleId="Tablaconcuadrcula">
    <w:name w:val="Table Grid"/>
    <w:basedOn w:val="Tablanormal"/>
    <w:uiPriority w:val="39"/>
    <w:rsid w:val="00E77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232C6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481F89"/>
    <w:pPr>
      <w:spacing w:before="100" w:beforeAutospacing="1" w:after="100" w:afterAutospacing="1" w:line="240" w:lineRule="auto"/>
      <w:ind w:firstLine="0"/>
    </w:pPr>
    <w:rPr>
      <w:rFonts w:eastAsia="Times New Roman" w:cs="Times New Roman"/>
      <w:szCs w:val="24"/>
      <w:lang w:val="en-US"/>
    </w:rPr>
  </w:style>
  <w:style w:type="character" w:styleId="Hipervnculo">
    <w:name w:val="Hyperlink"/>
    <w:basedOn w:val="Fuentedeprrafopredeter"/>
    <w:uiPriority w:val="99"/>
    <w:unhideWhenUsed/>
    <w:rsid w:val="00481F89"/>
    <w:rPr>
      <w:color w:val="0000FF"/>
      <w:u w:val="single"/>
    </w:rPr>
  </w:style>
  <w:style w:type="character" w:styleId="nfasis">
    <w:name w:val="Emphasis"/>
    <w:basedOn w:val="Fuentedeprrafopredeter"/>
    <w:uiPriority w:val="20"/>
    <w:qFormat/>
    <w:rsid w:val="00481F89"/>
    <w:rPr>
      <w:i/>
      <w:iCs/>
    </w:rPr>
  </w:style>
  <w:style w:type="character" w:customStyle="1" w:styleId="Ttulo4Car">
    <w:name w:val="Título 4 Car"/>
    <w:basedOn w:val="Fuentedeprrafopredeter"/>
    <w:link w:val="Ttulo4"/>
    <w:uiPriority w:val="9"/>
    <w:rsid w:val="00891D9A"/>
    <w:rPr>
      <w:rFonts w:ascii="Times New Roman" w:eastAsiaTheme="majorEastAsia" w:hAnsi="Times New Roman" w:cstheme="majorBidi"/>
      <w:b/>
      <w:i/>
      <w:iCs/>
      <w:sz w:val="24"/>
    </w:rPr>
  </w:style>
  <w:style w:type="paragraph" w:customStyle="1" w:styleId="asangre">
    <w:name w:val="asangre"/>
    <w:basedOn w:val="Normal"/>
    <w:rsid w:val="00481F89"/>
    <w:pPr>
      <w:spacing w:before="100" w:beforeAutospacing="1" w:after="100" w:afterAutospacing="1" w:line="240" w:lineRule="auto"/>
      <w:ind w:firstLine="0"/>
    </w:pPr>
    <w:rPr>
      <w:rFonts w:eastAsia="Times New Roman" w:cs="Times New Roman"/>
      <w:szCs w:val="24"/>
      <w:lang w:val="en-US"/>
    </w:rPr>
  </w:style>
  <w:style w:type="paragraph" w:styleId="Encabezado">
    <w:name w:val="header"/>
    <w:basedOn w:val="Normal"/>
    <w:link w:val="EncabezadoCar"/>
    <w:uiPriority w:val="99"/>
    <w:unhideWhenUsed/>
    <w:rsid w:val="002532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53269"/>
    <w:rPr>
      <w:rFonts w:ascii="Times New Roman" w:hAnsi="Times New Roman"/>
      <w:sz w:val="24"/>
    </w:rPr>
  </w:style>
  <w:style w:type="paragraph" w:styleId="Piedepgina">
    <w:name w:val="footer"/>
    <w:basedOn w:val="Normal"/>
    <w:link w:val="PiedepginaCar"/>
    <w:uiPriority w:val="99"/>
    <w:unhideWhenUsed/>
    <w:rsid w:val="002532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53269"/>
    <w:rPr>
      <w:rFonts w:ascii="Times New Roman" w:hAnsi="Times New Roman"/>
      <w:sz w:val="24"/>
    </w:rPr>
  </w:style>
  <w:style w:type="table" w:customStyle="1" w:styleId="TABLAAPA6TAED">
    <w:name w:val="TABLA APA 6TA ED"/>
    <w:basedOn w:val="Tablanormal"/>
    <w:uiPriority w:val="99"/>
    <w:rsid w:val="00AC12C6"/>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styleId="Textodeglobo">
    <w:name w:val="Balloon Text"/>
    <w:basedOn w:val="Normal"/>
    <w:link w:val="TextodegloboCar"/>
    <w:uiPriority w:val="99"/>
    <w:semiHidden/>
    <w:unhideWhenUsed/>
    <w:rsid w:val="0027488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4884"/>
    <w:rPr>
      <w:rFonts w:ascii="Segoe UI" w:hAnsi="Segoe UI" w:cs="Segoe UI"/>
      <w:sz w:val="18"/>
      <w:szCs w:val="18"/>
    </w:rPr>
  </w:style>
  <w:style w:type="character" w:styleId="Textoennegrita">
    <w:name w:val="Strong"/>
    <w:basedOn w:val="Fuentedeprrafopredeter"/>
    <w:uiPriority w:val="22"/>
    <w:qFormat/>
    <w:rsid w:val="006F06AD"/>
    <w:rPr>
      <w:b/>
      <w:bCs/>
    </w:rPr>
  </w:style>
  <w:style w:type="paragraph" w:styleId="Sinespaciado">
    <w:name w:val="No Spacing"/>
    <w:link w:val="SinespaciadoCar"/>
    <w:uiPriority w:val="1"/>
    <w:qFormat/>
    <w:rsid w:val="001C3E1C"/>
    <w:pPr>
      <w:spacing w:after="0" w:line="240" w:lineRule="auto"/>
      <w:ind w:firstLine="284"/>
    </w:pPr>
    <w:rPr>
      <w:rFonts w:ascii="Times New Roman" w:hAnsi="Times New Roman"/>
      <w:sz w:val="24"/>
    </w:rPr>
  </w:style>
  <w:style w:type="table" w:styleId="Tablaconcuadrcula4-nfasis4">
    <w:name w:val="Grid Table 4 Accent 4"/>
    <w:basedOn w:val="Tablanormal"/>
    <w:uiPriority w:val="49"/>
    <w:rsid w:val="00BD33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BD3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unhideWhenUsed/>
    <w:qFormat/>
    <w:rsid w:val="00AA3080"/>
    <w:pPr>
      <w:spacing w:after="200" w:line="240" w:lineRule="auto"/>
    </w:pPr>
    <w:rPr>
      <w:i/>
      <w:iCs/>
      <w:color w:val="44546A" w:themeColor="text2"/>
      <w:sz w:val="18"/>
      <w:szCs w:val="18"/>
    </w:rPr>
  </w:style>
  <w:style w:type="paragraph" w:customStyle="1" w:styleId="parrafo">
    <w:name w:val="parrafo"/>
    <w:basedOn w:val="Normal"/>
    <w:rsid w:val="00C21A36"/>
    <w:pPr>
      <w:spacing w:before="100" w:beforeAutospacing="1" w:after="100" w:afterAutospacing="1" w:line="240" w:lineRule="auto"/>
      <w:ind w:firstLine="0"/>
    </w:pPr>
    <w:rPr>
      <w:rFonts w:eastAsia="Times New Roman" w:cs="Times New Roman"/>
      <w:szCs w:val="24"/>
      <w:lang w:eastAsia="es-EC"/>
    </w:rPr>
  </w:style>
  <w:style w:type="paragraph" w:styleId="Bibliografa">
    <w:name w:val="Bibliography"/>
    <w:basedOn w:val="Normal"/>
    <w:next w:val="Normal"/>
    <w:uiPriority w:val="37"/>
    <w:unhideWhenUsed/>
    <w:rsid w:val="00464DAA"/>
  </w:style>
  <w:style w:type="paragraph" w:customStyle="1" w:styleId="sixteen">
    <w:name w:val="sixteen"/>
    <w:basedOn w:val="Normal"/>
    <w:rsid w:val="00AE0CAF"/>
    <w:pPr>
      <w:spacing w:before="100" w:beforeAutospacing="1" w:after="100" w:afterAutospacing="1" w:line="240" w:lineRule="auto"/>
      <w:ind w:firstLine="0"/>
    </w:pPr>
    <w:rPr>
      <w:rFonts w:eastAsia="Times New Roman" w:cs="Times New Roman"/>
      <w:szCs w:val="24"/>
      <w:lang w:eastAsia="es-EC"/>
    </w:rPr>
  </w:style>
  <w:style w:type="character" w:styleId="Textodelmarcadordeposicin">
    <w:name w:val="Placeholder Text"/>
    <w:basedOn w:val="Fuentedeprrafopredeter"/>
    <w:uiPriority w:val="99"/>
    <w:semiHidden/>
    <w:rsid w:val="00372D61"/>
    <w:rPr>
      <w:color w:val="808080"/>
    </w:rPr>
  </w:style>
  <w:style w:type="character" w:styleId="Refdecomentario">
    <w:name w:val="annotation reference"/>
    <w:basedOn w:val="Fuentedeprrafopredeter"/>
    <w:uiPriority w:val="99"/>
    <w:semiHidden/>
    <w:unhideWhenUsed/>
    <w:rsid w:val="00563E74"/>
    <w:rPr>
      <w:sz w:val="16"/>
      <w:szCs w:val="16"/>
    </w:rPr>
  </w:style>
  <w:style w:type="paragraph" w:styleId="Textocomentario">
    <w:name w:val="annotation text"/>
    <w:basedOn w:val="Normal"/>
    <w:link w:val="TextocomentarioCar"/>
    <w:uiPriority w:val="99"/>
    <w:semiHidden/>
    <w:unhideWhenUsed/>
    <w:rsid w:val="00563E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3E74"/>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63E74"/>
    <w:rPr>
      <w:b/>
      <w:bCs/>
    </w:rPr>
  </w:style>
  <w:style w:type="character" w:customStyle="1" w:styleId="AsuntodelcomentarioCar">
    <w:name w:val="Asunto del comentario Car"/>
    <w:basedOn w:val="TextocomentarioCar"/>
    <w:link w:val="Asuntodelcomentario"/>
    <w:uiPriority w:val="99"/>
    <w:semiHidden/>
    <w:rsid w:val="00563E74"/>
    <w:rPr>
      <w:rFonts w:ascii="Times New Roman" w:hAnsi="Times New Roman"/>
      <w:b/>
      <w:bCs/>
      <w:sz w:val="20"/>
      <w:szCs w:val="20"/>
    </w:rPr>
  </w:style>
  <w:style w:type="character" w:customStyle="1" w:styleId="SinespaciadoCar">
    <w:name w:val="Sin espaciado Car"/>
    <w:basedOn w:val="Fuentedeprrafopredeter"/>
    <w:link w:val="Sinespaciado"/>
    <w:uiPriority w:val="1"/>
    <w:rsid w:val="00081306"/>
    <w:rPr>
      <w:rFonts w:ascii="Times New Roman" w:hAnsi="Times New Roman"/>
      <w:sz w:val="24"/>
    </w:rPr>
  </w:style>
  <w:style w:type="character" w:styleId="Mencinsinresolver">
    <w:name w:val="Unresolved Mention"/>
    <w:basedOn w:val="Fuentedeprrafopredeter"/>
    <w:uiPriority w:val="99"/>
    <w:semiHidden/>
    <w:unhideWhenUsed/>
    <w:rsid w:val="007046CD"/>
    <w:rPr>
      <w:color w:val="605E5C"/>
      <w:shd w:val="clear" w:color="auto" w:fill="E1DFDD"/>
    </w:rPr>
  </w:style>
  <w:style w:type="table" w:styleId="Tablaconcuadrcula6concolores-nfasis4">
    <w:name w:val="Grid Table 6 Colorful Accent 4"/>
    <w:basedOn w:val="Tablanormal"/>
    <w:uiPriority w:val="51"/>
    <w:rsid w:val="003539E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Pa2">
    <w:name w:val="Pa2"/>
    <w:basedOn w:val="Normal"/>
    <w:next w:val="Normal"/>
    <w:uiPriority w:val="99"/>
    <w:rsid w:val="00385928"/>
    <w:pPr>
      <w:autoSpaceDE w:val="0"/>
      <w:autoSpaceDN w:val="0"/>
      <w:adjustRightInd w:val="0"/>
      <w:spacing w:line="221" w:lineRule="atLeast"/>
      <w:ind w:firstLine="0"/>
    </w:pPr>
    <w:rPr>
      <w:rFonts w:ascii="Novarese IT Cby BT" w:hAnsi="Novarese IT Cby BT"/>
      <w:szCs w:val="24"/>
    </w:rPr>
  </w:style>
  <w:style w:type="character" w:customStyle="1" w:styleId="A7">
    <w:name w:val="A7"/>
    <w:uiPriority w:val="99"/>
    <w:rsid w:val="00385928"/>
    <w:rPr>
      <w:rFonts w:cs="Novarese IT Cby BT"/>
      <w:color w:val="000000"/>
      <w:sz w:val="12"/>
      <w:szCs w:val="12"/>
    </w:rPr>
  </w:style>
  <w:style w:type="paragraph" w:customStyle="1" w:styleId="Pa14">
    <w:name w:val="Pa14"/>
    <w:basedOn w:val="Normal"/>
    <w:next w:val="Normal"/>
    <w:uiPriority w:val="99"/>
    <w:rsid w:val="00385928"/>
    <w:pPr>
      <w:autoSpaceDE w:val="0"/>
      <w:autoSpaceDN w:val="0"/>
      <w:adjustRightInd w:val="0"/>
      <w:spacing w:line="221" w:lineRule="atLeast"/>
      <w:ind w:firstLine="0"/>
    </w:pPr>
    <w:rPr>
      <w:rFonts w:ascii="Novarese IT Cby BT" w:hAnsi="Novarese IT Cby BT"/>
      <w:szCs w:val="24"/>
    </w:rPr>
  </w:style>
  <w:style w:type="character" w:customStyle="1" w:styleId="A4">
    <w:name w:val="A4"/>
    <w:uiPriority w:val="99"/>
    <w:rsid w:val="00385928"/>
    <w:rPr>
      <w:color w:val="000000"/>
      <w:sz w:val="14"/>
      <w:szCs w:val="14"/>
    </w:rPr>
  </w:style>
  <w:style w:type="paragraph" w:styleId="Textonotapie">
    <w:name w:val="footnote text"/>
    <w:basedOn w:val="Normal"/>
    <w:link w:val="TextonotapieCar"/>
    <w:uiPriority w:val="99"/>
    <w:unhideWhenUsed/>
    <w:rsid w:val="0030346C"/>
    <w:pPr>
      <w:spacing w:line="240" w:lineRule="auto"/>
      <w:ind w:firstLine="0"/>
    </w:pPr>
    <w:rPr>
      <w:rFonts w:ascii="Helvetica" w:eastAsia="Calibri" w:hAnsi="Helvetica" w:cs="Times New Roman"/>
      <w:color w:val="365F91"/>
      <w:sz w:val="20"/>
      <w:szCs w:val="20"/>
      <w:lang w:val="es-ES" w:eastAsia="es-ES"/>
    </w:rPr>
  </w:style>
  <w:style w:type="character" w:customStyle="1" w:styleId="TextonotapieCar">
    <w:name w:val="Texto nota pie Car"/>
    <w:basedOn w:val="Fuentedeprrafopredeter"/>
    <w:link w:val="Textonotapie"/>
    <w:uiPriority w:val="99"/>
    <w:rsid w:val="0030346C"/>
    <w:rPr>
      <w:rFonts w:ascii="Helvetica" w:eastAsia="Calibri" w:hAnsi="Helvetica" w:cs="Times New Roman"/>
      <w:color w:val="365F91"/>
      <w:sz w:val="20"/>
      <w:szCs w:val="20"/>
      <w:lang w:val="es-ES" w:eastAsia="es-ES"/>
    </w:rPr>
  </w:style>
  <w:style w:type="character" w:styleId="Refdenotaalpie">
    <w:name w:val="footnote reference"/>
    <w:basedOn w:val="Fuentedeprrafopredeter"/>
    <w:uiPriority w:val="99"/>
    <w:semiHidden/>
    <w:unhideWhenUsed/>
    <w:rsid w:val="0030346C"/>
    <w:rPr>
      <w:vertAlign w:val="superscript"/>
    </w:rPr>
  </w:style>
  <w:style w:type="paragraph" w:styleId="TtuloTDC">
    <w:name w:val="TOC Heading"/>
    <w:basedOn w:val="Ttulo1"/>
    <w:next w:val="Normal"/>
    <w:uiPriority w:val="39"/>
    <w:unhideWhenUsed/>
    <w:qFormat/>
    <w:rsid w:val="00B46566"/>
    <w:pPr>
      <w:spacing w:before="240" w:line="259" w:lineRule="auto"/>
      <w:outlineLvl w:val="9"/>
    </w:pPr>
    <w:rPr>
      <w:rFonts w:asciiTheme="majorHAnsi" w:hAnsiTheme="majorHAnsi"/>
      <w:b w:val="0"/>
      <w:sz w:val="32"/>
      <w:lang w:eastAsia="es-EC"/>
    </w:rPr>
  </w:style>
  <w:style w:type="paragraph" w:styleId="TDC1">
    <w:name w:val="toc 1"/>
    <w:basedOn w:val="Normal"/>
    <w:next w:val="Normal"/>
    <w:autoRedefine/>
    <w:uiPriority w:val="39"/>
    <w:unhideWhenUsed/>
    <w:rsid w:val="00B46566"/>
    <w:pPr>
      <w:spacing w:after="100"/>
    </w:pPr>
  </w:style>
  <w:style w:type="paragraph" w:styleId="TDC2">
    <w:name w:val="toc 2"/>
    <w:basedOn w:val="Normal"/>
    <w:next w:val="Normal"/>
    <w:autoRedefine/>
    <w:uiPriority w:val="39"/>
    <w:unhideWhenUsed/>
    <w:rsid w:val="00B46566"/>
    <w:pPr>
      <w:spacing w:after="100"/>
      <w:ind w:left="240"/>
    </w:pPr>
  </w:style>
  <w:style w:type="paragraph" w:styleId="TDC3">
    <w:name w:val="toc 3"/>
    <w:basedOn w:val="Normal"/>
    <w:next w:val="Normal"/>
    <w:autoRedefine/>
    <w:uiPriority w:val="39"/>
    <w:unhideWhenUsed/>
    <w:rsid w:val="00B46566"/>
    <w:pPr>
      <w:spacing w:after="100"/>
      <w:ind w:left="480"/>
    </w:pPr>
  </w:style>
  <w:style w:type="paragraph" w:customStyle="1" w:styleId="Default">
    <w:name w:val="Default"/>
    <w:rsid w:val="009E7C6C"/>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A8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A81A90"/>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1">
      <w:bodyDiv w:val="1"/>
      <w:marLeft w:val="0"/>
      <w:marRight w:val="0"/>
      <w:marTop w:val="0"/>
      <w:marBottom w:val="0"/>
      <w:divBdr>
        <w:top w:val="none" w:sz="0" w:space="0" w:color="auto"/>
        <w:left w:val="none" w:sz="0" w:space="0" w:color="auto"/>
        <w:bottom w:val="none" w:sz="0" w:space="0" w:color="auto"/>
        <w:right w:val="none" w:sz="0" w:space="0" w:color="auto"/>
      </w:divBdr>
    </w:div>
    <w:div w:id="10108795">
      <w:bodyDiv w:val="1"/>
      <w:marLeft w:val="0"/>
      <w:marRight w:val="0"/>
      <w:marTop w:val="0"/>
      <w:marBottom w:val="0"/>
      <w:divBdr>
        <w:top w:val="none" w:sz="0" w:space="0" w:color="auto"/>
        <w:left w:val="none" w:sz="0" w:space="0" w:color="auto"/>
        <w:bottom w:val="none" w:sz="0" w:space="0" w:color="auto"/>
        <w:right w:val="none" w:sz="0" w:space="0" w:color="auto"/>
      </w:divBdr>
    </w:div>
    <w:div w:id="30806656">
      <w:bodyDiv w:val="1"/>
      <w:marLeft w:val="0"/>
      <w:marRight w:val="0"/>
      <w:marTop w:val="0"/>
      <w:marBottom w:val="0"/>
      <w:divBdr>
        <w:top w:val="none" w:sz="0" w:space="0" w:color="auto"/>
        <w:left w:val="none" w:sz="0" w:space="0" w:color="auto"/>
        <w:bottom w:val="none" w:sz="0" w:space="0" w:color="auto"/>
        <w:right w:val="none" w:sz="0" w:space="0" w:color="auto"/>
      </w:divBdr>
    </w:div>
    <w:div w:id="45840648">
      <w:bodyDiv w:val="1"/>
      <w:marLeft w:val="0"/>
      <w:marRight w:val="0"/>
      <w:marTop w:val="0"/>
      <w:marBottom w:val="0"/>
      <w:divBdr>
        <w:top w:val="none" w:sz="0" w:space="0" w:color="auto"/>
        <w:left w:val="none" w:sz="0" w:space="0" w:color="auto"/>
        <w:bottom w:val="none" w:sz="0" w:space="0" w:color="auto"/>
        <w:right w:val="none" w:sz="0" w:space="0" w:color="auto"/>
      </w:divBdr>
    </w:div>
    <w:div w:id="60250784">
      <w:bodyDiv w:val="1"/>
      <w:marLeft w:val="0"/>
      <w:marRight w:val="0"/>
      <w:marTop w:val="0"/>
      <w:marBottom w:val="0"/>
      <w:divBdr>
        <w:top w:val="none" w:sz="0" w:space="0" w:color="auto"/>
        <w:left w:val="none" w:sz="0" w:space="0" w:color="auto"/>
        <w:bottom w:val="none" w:sz="0" w:space="0" w:color="auto"/>
        <w:right w:val="none" w:sz="0" w:space="0" w:color="auto"/>
      </w:divBdr>
    </w:div>
    <w:div w:id="67075968">
      <w:bodyDiv w:val="1"/>
      <w:marLeft w:val="0"/>
      <w:marRight w:val="0"/>
      <w:marTop w:val="0"/>
      <w:marBottom w:val="0"/>
      <w:divBdr>
        <w:top w:val="none" w:sz="0" w:space="0" w:color="auto"/>
        <w:left w:val="none" w:sz="0" w:space="0" w:color="auto"/>
        <w:bottom w:val="none" w:sz="0" w:space="0" w:color="auto"/>
        <w:right w:val="none" w:sz="0" w:space="0" w:color="auto"/>
      </w:divBdr>
    </w:div>
    <w:div w:id="67388859">
      <w:bodyDiv w:val="1"/>
      <w:marLeft w:val="0"/>
      <w:marRight w:val="0"/>
      <w:marTop w:val="0"/>
      <w:marBottom w:val="0"/>
      <w:divBdr>
        <w:top w:val="none" w:sz="0" w:space="0" w:color="auto"/>
        <w:left w:val="none" w:sz="0" w:space="0" w:color="auto"/>
        <w:bottom w:val="none" w:sz="0" w:space="0" w:color="auto"/>
        <w:right w:val="none" w:sz="0" w:space="0" w:color="auto"/>
      </w:divBdr>
    </w:div>
    <w:div w:id="96223325">
      <w:bodyDiv w:val="1"/>
      <w:marLeft w:val="0"/>
      <w:marRight w:val="0"/>
      <w:marTop w:val="0"/>
      <w:marBottom w:val="0"/>
      <w:divBdr>
        <w:top w:val="none" w:sz="0" w:space="0" w:color="auto"/>
        <w:left w:val="none" w:sz="0" w:space="0" w:color="auto"/>
        <w:bottom w:val="none" w:sz="0" w:space="0" w:color="auto"/>
        <w:right w:val="none" w:sz="0" w:space="0" w:color="auto"/>
      </w:divBdr>
    </w:div>
    <w:div w:id="140467205">
      <w:bodyDiv w:val="1"/>
      <w:marLeft w:val="0"/>
      <w:marRight w:val="0"/>
      <w:marTop w:val="0"/>
      <w:marBottom w:val="0"/>
      <w:divBdr>
        <w:top w:val="none" w:sz="0" w:space="0" w:color="auto"/>
        <w:left w:val="none" w:sz="0" w:space="0" w:color="auto"/>
        <w:bottom w:val="none" w:sz="0" w:space="0" w:color="auto"/>
        <w:right w:val="none" w:sz="0" w:space="0" w:color="auto"/>
      </w:divBdr>
    </w:div>
    <w:div w:id="141582109">
      <w:bodyDiv w:val="1"/>
      <w:marLeft w:val="0"/>
      <w:marRight w:val="0"/>
      <w:marTop w:val="0"/>
      <w:marBottom w:val="0"/>
      <w:divBdr>
        <w:top w:val="none" w:sz="0" w:space="0" w:color="auto"/>
        <w:left w:val="none" w:sz="0" w:space="0" w:color="auto"/>
        <w:bottom w:val="none" w:sz="0" w:space="0" w:color="auto"/>
        <w:right w:val="none" w:sz="0" w:space="0" w:color="auto"/>
      </w:divBdr>
    </w:div>
    <w:div w:id="195314929">
      <w:bodyDiv w:val="1"/>
      <w:marLeft w:val="0"/>
      <w:marRight w:val="0"/>
      <w:marTop w:val="0"/>
      <w:marBottom w:val="0"/>
      <w:divBdr>
        <w:top w:val="none" w:sz="0" w:space="0" w:color="auto"/>
        <w:left w:val="none" w:sz="0" w:space="0" w:color="auto"/>
        <w:bottom w:val="none" w:sz="0" w:space="0" w:color="auto"/>
        <w:right w:val="none" w:sz="0" w:space="0" w:color="auto"/>
      </w:divBdr>
    </w:div>
    <w:div w:id="195974446">
      <w:bodyDiv w:val="1"/>
      <w:marLeft w:val="0"/>
      <w:marRight w:val="0"/>
      <w:marTop w:val="0"/>
      <w:marBottom w:val="0"/>
      <w:divBdr>
        <w:top w:val="none" w:sz="0" w:space="0" w:color="auto"/>
        <w:left w:val="none" w:sz="0" w:space="0" w:color="auto"/>
        <w:bottom w:val="none" w:sz="0" w:space="0" w:color="auto"/>
        <w:right w:val="none" w:sz="0" w:space="0" w:color="auto"/>
      </w:divBdr>
    </w:div>
    <w:div w:id="209464014">
      <w:bodyDiv w:val="1"/>
      <w:marLeft w:val="0"/>
      <w:marRight w:val="0"/>
      <w:marTop w:val="0"/>
      <w:marBottom w:val="0"/>
      <w:divBdr>
        <w:top w:val="none" w:sz="0" w:space="0" w:color="auto"/>
        <w:left w:val="none" w:sz="0" w:space="0" w:color="auto"/>
        <w:bottom w:val="none" w:sz="0" w:space="0" w:color="auto"/>
        <w:right w:val="none" w:sz="0" w:space="0" w:color="auto"/>
      </w:divBdr>
    </w:div>
    <w:div w:id="233855751">
      <w:bodyDiv w:val="1"/>
      <w:marLeft w:val="0"/>
      <w:marRight w:val="0"/>
      <w:marTop w:val="0"/>
      <w:marBottom w:val="0"/>
      <w:divBdr>
        <w:top w:val="none" w:sz="0" w:space="0" w:color="auto"/>
        <w:left w:val="none" w:sz="0" w:space="0" w:color="auto"/>
        <w:bottom w:val="none" w:sz="0" w:space="0" w:color="auto"/>
        <w:right w:val="none" w:sz="0" w:space="0" w:color="auto"/>
      </w:divBdr>
    </w:div>
    <w:div w:id="294679785">
      <w:bodyDiv w:val="1"/>
      <w:marLeft w:val="0"/>
      <w:marRight w:val="0"/>
      <w:marTop w:val="0"/>
      <w:marBottom w:val="0"/>
      <w:divBdr>
        <w:top w:val="none" w:sz="0" w:space="0" w:color="auto"/>
        <w:left w:val="none" w:sz="0" w:space="0" w:color="auto"/>
        <w:bottom w:val="none" w:sz="0" w:space="0" w:color="auto"/>
        <w:right w:val="none" w:sz="0" w:space="0" w:color="auto"/>
      </w:divBdr>
    </w:div>
    <w:div w:id="353968997">
      <w:bodyDiv w:val="1"/>
      <w:marLeft w:val="0"/>
      <w:marRight w:val="0"/>
      <w:marTop w:val="0"/>
      <w:marBottom w:val="0"/>
      <w:divBdr>
        <w:top w:val="none" w:sz="0" w:space="0" w:color="auto"/>
        <w:left w:val="none" w:sz="0" w:space="0" w:color="auto"/>
        <w:bottom w:val="none" w:sz="0" w:space="0" w:color="auto"/>
        <w:right w:val="none" w:sz="0" w:space="0" w:color="auto"/>
      </w:divBdr>
    </w:div>
    <w:div w:id="371344343">
      <w:bodyDiv w:val="1"/>
      <w:marLeft w:val="0"/>
      <w:marRight w:val="0"/>
      <w:marTop w:val="0"/>
      <w:marBottom w:val="0"/>
      <w:divBdr>
        <w:top w:val="none" w:sz="0" w:space="0" w:color="auto"/>
        <w:left w:val="none" w:sz="0" w:space="0" w:color="auto"/>
        <w:bottom w:val="none" w:sz="0" w:space="0" w:color="auto"/>
        <w:right w:val="none" w:sz="0" w:space="0" w:color="auto"/>
      </w:divBdr>
    </w:div>
    <w:div w:id="376904359">
      <w:bodyDiv w:val="1"/>
      <w:marLeft w:val="0"/>
      <w:marRight w:val="0"/>
      <w:marTop w:val="0"/>
      <w:marBottom w:val="0"/>
      <w:divBdr>
        <w:top w:val="none" w:sz="0" w:space="0" w:color="auto"/>
        <w:left w:val="none" w:sz="0" w:space="0" w:color="auto"/>
        <w:bottom w:val="none" w:sz="0" w:space="0" w:color="auto"/>
        <w:right w:val="none" w:sz="0" w:space="0" w:color="auto"/>
      </w:divBdr>
    </w:div>
    <w:div w:id="403917161">
      <w:bodyDiv w:val="1"/>
      <w:marLeft w:val="0"/>
      <w:marRight w:val="0"/>
      <w:marTop w:val="0"/>
      <w:marBottom w:val="0"/>
      <w:divBdr>
        <w:top w:val="none" w:sz="0" w:space="0" w:color="auto"/>
        <w:left w:val="none" w:sz="0" w:space="0" w:color="auto"/>
        <w:bottom w:val="none" w:sz="0" w:space="0" w:color="auto"/>
        <w:right w:val="none" w:sz="0" w:space="0" w:color="auto"/>
      </w:divBdr>
    </w:div>
    <w:div w:id="417600001">
      <w:bodyDiv w:val="1"/>
      <w:marLeft w:val="0"/>
      <w:marRight w:val="0"/>
      <w:marTop w:val="0"/>
      <w:marBottom w:val="0"/>
      <w:divBdr>
        <w:top w:val="none" w:sz="0" w:space="0" w:color="auto"/>
        <w:left w:val="none" w:sz="0" w:space="0" w:color="auto"/>
        <w:bottom w:val="none" w:sz="0" w:space="0" w:color="auto"/>
        <w:right w:val="none" w:sz="0" w:space="0" w:color="auto"/>
      </w:divBdr>
    </w:div>
    <w:div w:id="424426187">
      <w:bodyDiv w:val="1"/>
      <w:marLeft w:val="0"/>
      <w:marRight w:val="0"/>
      <w:marTop w:val="0"/>
      <w:marBottom w:val="0"/>
      <w:divBdr>
        <w:top w:val="none" w:sz="0" w:space="0" w:color="auto"/>
        <w:left w:val="none" w:sz="0" w:space="0" w:color="auto"/>
        <w:bottom w:val="none" w:sz="0" w:space="0" w:color="auto"/>
        <w:right w:val="none" w:sz="0" w:space="0" w:color="auto"/>
      </w:divBdr>
    </w:div>
    <w:div w:id="433790023">
      <w:bodyDiv w:val="1"/>
      <w:marLeft w:val="0"/>
      <w:marRight w:val="0"/>
      <w:marTop w:val="0"/>
      <w:marBottom w:val="0"/>
      <w:divBdr>
        <w:top w:val="none" w:sz="0" w:space="0" w:color="auto"/>
        <w:left w:val="none" w:sz="0" w:space="0" w:color="auto"/>
        <w:bottom w:val="none" w:sz="0" w:space="0" w:color="auto"/>
        <w:right w:val="none" w:sz="0" w:space="0" w:color="auto"/>
      </w:divBdr>
    </w:div>
    <w:div w:id="449864016">
      <w:bodyDiv w:val="1"/>
      <w:marLeft w:val="0"/>
      <w:marRight w:val="0"/>
      <w:marTop w:val="0"/>
      <w:marBottom w:val="0"/>
      <w:divBdr>
        <w:top w:val="none" w:sz="0" w:space="0" w:color="auto"/>
        <w:left w:val="none" w:sz="0" w:space="0" w:color="auto"/>
        <w:bottom w:val="none" w:sz="0" w:space="0" w:color="auto"/>
        <w:right w:val="none" w:sz="0" w:space="0" w:color="auto"/>
      </w:divBdr>
    </w:div>
    <w:div w:id="452553714">
      <w:bodyDiv w:val="1"/>
      <w:marLeft w:val="0"/>
      <w:marRight w:val="0"/>
      <w:marTop w:val="0"/>
      <w:marBottom w:val="0"/>
      <w:divBdr>
        <w:top w:val="none" w:sz="0" w:space="0" w:color="auto"/>
        <w:left w:val="none" w:sz="0" w:space="0" w:color="auto"/>
        <w:bottom w:val="none" w:sz="0" w:space="0" w:color="auto"/>
        <w:right w:val="none" w:sz="0" w:space="0" w:color="auto"/>
      </w:divBdr>
    </w:div>
    <w:div w:id="472793021">
      <w:bodyDiv w:val="1"/>
      <w:marLeft w:val="0"/>
      <w:marRight w:val="0"/>
      <w:marTop w:val="0"/>
      <w:marBottom w:val="0"/>
      <w:divBdr>
        <w:top w:val="none" w:sz="0" w:space="0" w:color="auto"/>
        <w:left w:val="none" w:sz="0" w:space="0" w:color="auto"/>
        <w:bottom w:val="none" w:sz="0" w:space="0" w:color="auto"/>
        <w:right w:val="none" w:sz="0" w:space="0" w:color="auto"/>
      </w:divBdr>
    </w:div>
    <w:div w:id="481042534">
      <w:bodyDiv w:val="1"/>
      <w:marLeft w:val="0"/>
      <w:marRight w:val="0"/>
      <w:marTop w:val="0"/>
      <w:marBottom w:val="0"/>
      <w:divBdr>
        <w:top w:val="none" w:sz="0" w:space="0" w:color="auto"/>
        <w:left w:val="none" w:sz="0" w:space="0" w:color="auto"/>
        <w:bottom w:val="none" w:sz="0" w:space="0" w:color="auto"/>
        <w:right w:val="none" w:sz="0" w:space="0" w:color="auto"/>
      </w:divBdr>
      <w:divsChild>
        <w:div w:id="1251818237">
          <w:marLeft w:val="547"/>
          <w:marRight w:val="0"/>
          <w:marTop w:val="86"/>
          <w:marBottom w:val="0"/>
          <w:divBdr>
            <w:top w:val="none" w:sz="0" w:space="0" w:color="auto"/>
            <w:left w:val="none" w:sz="0" w:space="0" w:color="auto"/>
            <w:bottom w:val="none" w:sz="0" w:space="0" w:color="auto"/>
            <w:right w:val="none" w:sz="0" w:space="0" w:color="auto"/>
          </w:divBdr>
        </w:div>
      </w:divsChild>
    </w:div>
    <w:div w:id="499077485">
      <w:bodyDiv w:val="1"/>
      <w:marLeft w:val="0"/>
      <w:marRight w:val="0"/>
      <w:marTop w:val="0"/>
      <w:marBottom w:val="0"/>
      <w:divBdr>
        <w:top w:val="none" w:sz="0" w:space="0" w:color="auto"/>
        <w:left w:val="none" w:sz="0" w:space="0" w:color="auto"/>
        <w:bottom w:val="none" w:sz="0" w:space="0" w:color="auto"/>
        <w:right w:val="none" w:sz="0" w:space="0" w:color="auto"/>
      </w:divBdr>
    </w:div>
    <w:div w:id="545219178">
      <w:bodyDiv w:val="1"/>
      <w:marLeft w:val="0"/>
      <w:marRight w:val="0"/>
      <w:marTop w:val="0"/>
      <w:marBottom w:val="0"/>
      <w:divBdr>
        <w:top w:val="none" w:sz="0" w:space="0" w:color="auto"/>
        <w:left w:val="none" w:sz="0" w:space="0" w:color="auto"/>
        <w:bottom w:val="none" w:sz="0" w:space="0" w:color="auto"/>
        <w:right w:val="none" w:sz="0" w:space="0" w:color="auto"/>
      </w:divBdr>
    </w:div>
    <w:div w:id="546064441">
      <w:bodyDiv w:val="1"/>
      <w:marLeft w:val="0"/>
      <w:marRight w:val="0"/>
      <w:marTop w:val="0"/>
      <w:marBottom w:val="0"/>
      <w:divBdr>
        <w:top w:val="none" w:sz="0" w:space="0" w:color="auto"/>
        <w:left w:val="none" w:sz="0" w:space="0" w:color="auto"/>
        <w:bottom w:val="none" w:sz="0" w:space="0" w:color="auto"/>
        <w:right w:val="none" w:sz="0" w:space="0" w:color="auto"/>
      </w:divBdr>
    </w:div>
    <w:div w:id="551234705">
      <w:bodyDiv w:val="1"/>
      <w:marLeft w:val="0"/>
      <w:marRight w:val="0"/>
      <w:marTop w:val="0"/>
      <w:marBottom w:val="0"/>
      <w:divBdr>
        <w:top w:val="none" w:sz="0" w:space="0" w:color="auto"/>
        <w:left w:val="none" w:sz="0" w:space="0" w:color="auto"/>
        <w:bottom w:val="none" w:sz="0" w:space="0" w:color="auto"/>
        <w:right w:val="none" w:sz="0" w:space="0" w:color="auto"/>
      </w:divBdr>
    </w:div>
    <w:div w:id="575166903">
      <w:bodyDiv w:val="1"/>
      <w:marLeft w:val="0"/>
      <w:marRight w:val="0"/>
      <w:marTop w:val="0"/>
      <w:marBottom w:val="0"/>
      <w:divBdr>
        <w:top w:val="none" w:sz="0" w:space="0" w:color="auto"/>
        <w:left w:val="none" w:sz="0" w:space="0" w:color="auto"/>
        <w:bottom w:val="none" w:sz="0" w:space="0" w:color="auto"/>
        <w:right w:val="none" w:sz="0" w:space="0" w:color="auto"/>
      </w:divBdr>
    </w:div>
    <w:div w:id="610937816">
      <w:bodyDiv w:val="1"/>
      <w:marLeft w:val="0"/>
      <w:marRight w:val="0"/>
      <w:marTop w:val="0"/>
      <w:marBottom w:val="0"/>
      <w:divBdr>
        <w:top w:val="none" w:sz="0" w:space="0" w:color="auto"/>
        <w:left w:val="none" w:sz="0" w:space="0" w:color="auto"/>
        <w:bottom w:val="none" w:sz="0" w:space="0" w:color="auto"/>
        <w:right w:val="none" w:sz="0" w:space="0" w:color="auto"/>
      </w:divBdr>
    </w:div>
    <w:div w:id="646975510">
      <w:bodyDiv w:val="1"/>
      <w:marLeft w:val="0"/>
      <w:marRight w:val="0"/>
      <w:marTop w:val="0"/>
      <w:marBottom w:val="0"/>
      <w:divBdr>
        <w:top w:val="none" w:sz="0" w:space="0" w:color="auto"/>
        <w:left w:val="none" w:sz="0" w:space="0" w:color="auto"/>
        <w:bottom w:val="none" w:sz="0" w:space="0" w:color="auto"/>
        <w:right w:val="none" w:sz="0" w:space="0" w:color="auto"/>
      </w:divBdr>
    </w:div>
    <w:div w:id="673457993">
      <w:bodyDiv w:val="1"/>
      <w:marLeft w:val="0"/>
      <w:marRight w:val="0"/>
      <w:marTop w:val="0"/>
      <w:marBottom w:val="0"/>
      <w:divBdr>
        <w:top w:val="none" w:sz="0" w:space="0" w:color="auto"/>
        <w:left w:val="none" w:sz="0" w:space="0" w:color="auto"/>
        <w:bottom w:val="none" w:sz="0" w:space="0" w:color="auto"/>
        <w:right w:val="none" w:sz="0" w:space="0" w:color="auto"/>
      </w:divBdr>
    </w:div>
    <w:div w:id="694430871">
      <w:bodyDiv w:val="1"/>
      <w:marLeft w:val="0"/>
      <w:marRight w:val="0"/>
      <w:marTop w:val="0"/>
      <w:marBottom w:val="0"/>
      <w:divBdr>
        <w:top w:val="none" w:sz="0" w:space="0" w:color="auto"/>
        <w:left w:val="none" w:sz="0" w:space="0" w:color="auto"/>
        <w:bottom w:val="none" w:sz="0" w:space="0" w:color="auto"/>
        <w:right w:val="none" w:sz="0" w:space="0" w:color="auto"/>
      </w:divBdr>
    </w:div>
    <w:div w:id="750127707">
      <w:bodyDiv w:val="1"/>
      <w:marLeft w:val="0"/>
      <w:marRight w:val="0"/>
      <w:marTop w:val="0"/>
      <w:marBottom w:val="0"/>
      <w:divBdr>
        <w:top w:val="none" w:sz="0" w:space="0" w:color="auto"/>
        <w:left w:val="none" w:sz="0" w:space="0" w:color="auto"/>
        <w:bottom w:val="none" w:sz="0" w:space="0" w:color="auto"/>
        <w:right w:val="none" w:sz="0" w:space="0" w:color="auto"/>
      </w:divBdr>
    </w:div>
    <w:div w:id="774177252">
      <w:bodyDiv w:val="1"/>
      <w:marLeft w:val="0"/>
      <w:marRight w:val="0"/>
      <w:marTop w:val="0"/>
      <w:marBottom w:val="0"/>
      <w:divBdr>
        <w:top w:val="none" w:sz="0" w:space="0" w:color="auto"/>
        <w:left w:val="none" w:sz="0" w:space="0" w:color="auto"/>
        <w:bottom w:val="none" w:sz="0" w:space="0" w:color="auto"/>
        <w:right w:val="none" w:sz="0" w:space="0" w:color="auto"/>
      </w:divBdr>
    </w:div>
    <w:div w:id="818813768">
      <w:bodyDiv w:val="1"/>
      <w:marLeft w:val="0"/>
      <w:marRight w:val="0"/>
      <w:marTop w:val="0"/>
      <w:marBottom w:val="0"/>
      <w:divBdr>
        <w:top w:val="none" w:sz="0" w:space="0" w:color="auto"/>
        <w:left w:val="none" w:sz="0" w:space="0" w:color="auto"/>
        <w:bottom w:val="none" w:sz="0" w:space="0" w:color="auto"/>
        <w:right w:val="none" w:sz="0" w:space="0" w:color="auto"/>
      </w:divBdr>
    </w:div>
    <w:div w:id="832262853">
      <w:bodyDiv w:val="1"/>
      <w:marLeft w:val="0"/>
      <w:marRight w:val="0"/>
      <w:marTop w:val="0"/>
      <w:marBottom w:val="0"/>
      <w:divBdr>
        <w:top w:val="none" w:sz="0" w:space="0" w:color="auto"/>
        <w:left w:val="none" w:sz="0" w:space="0" w:color="auto"/>
        <w:bottom w:val="none" w:sz="0" w:space="0" w:color="auto"/>
        <w:right w:val="none" w:sz="0" w:space="0" w:color="auto"/>
      </w:divBdr>
    </w:div>
    <w:div w:id="878124093">
      <w:bodyDiv w:val="1"/>
      <w:marLeft w:val="0"/>
      <w:marRight w:val="0"/>
      <w:marTop w:val="0"/>
      <w:marBottom w:val="0"/>
      <w:divBdr>
        <w:top w:val="none" w:sz="0" w:space="0" w:color="auto"/>
        <w:left w:val="none" w:sz="0" w:space="0" w:color="auto"/>
        <w:bottom w:val="none" w:sz="0" w:space="0" w:color="auto"/>
        <w:right w:val="none" w:sz="0" w:space="0" w:color="auto"/>
      </w:divBdr>
    </w:div>
    <w:div w:id="926575577">
      <w:bodyDiv w:val="1"/>
      <w:marLeft w:val="0"/>
      <w:marRight w:val="0"/>
      <w:marTop w:val="0"/>
      <w:marBottom w:val="0"/>
      <w:divBdr>
        <w:top w:val="none" w:sz="0" w:space="0" w:color="auto"/>
        <w:left w:val="none" w:sz="0" w:space="0" w:color="auto"/>
        <w:bottom w:val="none" w:sz="0" w:space="0" w:color="auto"/>
        <w:right w:val="none" w:sz="0" w:space="0" w:color="auto"/>
      </w:divBdr>
    </w:div>
    <w:div w:id="944269327">
      <w:bodyDiv w:val="1"/>
      <w:marLeft w:val="0"/>
      <w:marRight w:val="0"/>
      <w:marTop w:val="0"/>
      <w:marBottom w:val="0"/>
      <w:divBdr>
        <w:top w:val="none" w:sz="0" w:space="0" w:color="auto"/>
        <w:left w:val="none" w:sz="0" w:space="0" w:color="auto"/>
        <w:bottom w:val="none" w:sz="0" w:space="0" w:color="auto"/>
        <w:right w:val="none" w:sz="0" w:space="0" w:color="auto"/>
      </w:divBdr>
    </w:div>
    <w:div w:id="963386670">
      <w:bodyDiv w:val="1"/>
      <w:marLeft w:val="0"/>
      <w:marRight w:val="0"/>
      <w:marTop w:val="0"/>
      <w:marBottom w:val="0"/>
      <w:divBdr>
        <w:top w:val="none" w:sz="0" w:space="0" w:color="auto"/>
        <w:left w:val="none" w:sz="0" w:space="0" w:color="auto"/>
        <w:bottom w:val="none" w:sz="0" w:space="0" w:color="auto"/>
        <w:right w:val="none" w:sz="0" w:space="0" w:color="auto"/>
      </w:divBdr>
      <w:divsChild>
        <w:div w:id="1504125245">
          <w:marLeft w:val="0"/>
          <w:marRight w:val="0"/>
          <w:marTop w:val="0"/>
          <w:marBottom w:val="0"/>
          <w:divBdr>
            <w:top w:val="none" w:sz="0" w:space="0" w:color="auto"/>
            <w:left w:val="none" w:sz="0" w:space="0" w:color="auto"/>
            <w:bottom w:val="none" w:sz="0" w:space="0" w:color="auto"/>
            <w:right w:val="none" w:sz="0" w:space="0" w:color="auto"/>
          </w:divBdr>
          <w:divsChild>
            <w:div w:id="1726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930">
      <w:bodyDiv w:val="1"/>
      <w:marLeft w:val="0"/>
      <w:marRight w:val="0"/>
      <w:marTop w:val="0"/>
      <w:marBottom w:val="0"/>
      <w:divBdr>
        <w:top w:val="none" w:sz="0" w:space="0" w:color="auto"/>
        <w:left w:val="none" w:sz="0" w:space="0" w:color="auto"/>
        <w:bottom w:val="none" w:sz="0" w:space="0" w:color="auto"/>
        <w:right w:val="none" w:sz="0" w:space="0" w:color="auto"/>
      </w:divBdr>
    </w:div>
    <w:div w:id="978071631">
      <w:bodyDiv w:val="1"/>
      <w:marLeft w:val="0"/>
      <w:marRight w:val="0"/>
      <w:marTop w:val="0"/>
      <w:marBottom w:val="0"/>
      <w:divBdr>
        <w:top w:val="none" w:sz="0" w:space="0" w:color="auto"/>
        <w:left w:val="none" w:sz="0" w:space="0" w:color="auto"/>
        <w:bottom w:val="none" w:sz="0" w:space="0" w:color="auto"/>
        <w:right w:val="none" w:sz="0" w:space="0" w:color="auto"/>
      </w:divBdr>
    </w:div>
    <w:div w:id="981933694">
      <w:bodyDiv w:val="1"/>
      <w:marLeft w:val="0"/>
      <w:marRight w:val="0"/>
      <w:marTop w:val="0"/>
      <w:marBottom w:val="0"/>
      <w:divBdr>
        <w:top w:val="none" w:sz="0" w:space="0" w:color="auto"/>
        <w:left w:val="none" w:sz="0" w:space="0" w:color="auto"/>
        <w:bottom w:val="none" w:sz="0" w:space="0" w:color="auto"/>
        <w:right w:val="none" w:sz="0" w:space="0" w:color="auto"/>
      </w:divBdr>
    </w:div>
    <w:div w:id="983200846">
      <w:bodyDiv w:val="1"/>
      <w:marLeft w:val="0"/>
      <w:marRight w:val="0"/>
      <w:marTop w:val="0"/>
      <w:marBottom w:val="0"/>
      <w:divBdr>
        <w:top w:val="none" w:sz="0" w:space="0" w:color="auto"/>
        <w:left w:val="none" w:sz="0" w:space="0" w:color="auto"/>
        <w:bottom w:val="none" w:sz="0" w:space="0" w:color="auto"/>
        <w:right w:val="none" w:sz="0" w:space="0" w:color="auto"/>
      </w:divBdr>
    </w:div>
    <w:div w:id="984352753">
      <w:bodyDiv w:val="1"/>
      <w:marLeft w:val="0"/>
      <w:marRight w:val="0"/>
      <w:marTop w:val="0"/>
      <w:marBottom w:val="0"/>
      <w:divBdr>
        <w:top w:val="none" w:sz="0" w:space="0" w:color="auto"/>
        <w:left w:val="none" w:sz="0" w:space="0" w:color="auto"/>
        <w:bottom w:val="none" w:sz="0" w:space="0" w:color="auto"/>
        <w:right w:val="none" w:sz="0" w:space="0" w:color="auto"/>
      </w:divBdr>
    </w:div>
    <w:div w:id="984548206">
      <w:bodyDiv w:val="1"/>
      <w:marLeft w:val="0"/>
      <w:marRight w:val="0"/>
      <w:marTop w:val="0"/>
      <w:marBottom w:val="0"/>
      <w:divBdr>
        <w:top w:val="none" w:sz="0" w:space="0" w:color="auto"/>
        <w:left w:val="none" w:sz="0" w:space="0" w:color="auto"/>
        <w:bottom w:val="none" w:sz="0" w:space="0" w:color="auto"/>
        <w:right w:val="none" w:sz="0" w:space="0" w:color="auto"/>
      </w:divBdr>
    </w:div>
    <w:div w:id="987396483">
      <w:bodyDiv w:val="1"/>
      <w:marLeft w:val="0"/>
      <w:marRight w:val="0"/>
      <w:marTop w:val="0"/>
      <w:marBottom w:val="0"/>
      <w:divBdr>
        <w:top w:val="none" w:sz="0" w:space="0" w:color="auto"/>
        <w:left w:val="none" w:sz="0" w:space="0" w:color="auto"/>
        <w:bottom w:val="none" w:sz="0" w:space="0" w:color="auto"/>
        <w:right w:val="none" w:sz="0" w:space="0" w:color="auto"/>
      </w:divBdr>
      <w:divsChild>
        <w:div w:id="1649170127">
          <w:marLeft w:val="0"/>
          <w:marRight w:val="0"/>
          <w:marTop w:val="0"/>
          <w:marBottom w:val="0"/>
          <w:divBdr>
            <w:top w:val="none" w:sz="0" w:space="0" w:color="auto"/>
            <w:left w:val="none" w:sz="0" w:space="0" w:color="auto"/>
            <w:bottom w:val="none" w:sz="0" w:space="0" w:color="auto"/>
            <w:right w:val="none" w:sz="0" w:space="0" w:color="auto"/>
          </w:divBdr>
          <w:divsChild>
            <w:div w:id="1149058335">
              <w:marLeft w:val="0"/>
              <w:marRight w:val="0"/>
              <w:marTop w:val="0"/>
              <w:marBottom w:val="0"/>
              <w:divBdr>
                <w:top w:val="none" w:sz="0" w:space="0" w:color="auto"/>
                <w:left w:val="none" w:sz="0" w:space="0" w:color="auto"/>
                <w:bottom w:val="none" w:sz="0" w:space="0" w:color="auto"/>
                <w:right w:val="none" w:sz="0" w:space="0" w:color="auto"/>
              </w:divBdr>
            </w:div>
          </w:divsChild>
        </w:div>
        <w:div w:id="1071999852">
          <w:marLeft w:val="0"/>
          <w:marRight w:val="0"/>
          <w:marTop w:val="0"/>
          <w:marBottom w:val="0"/>
          <w:divBdr>
            <w:top w:val="none" w:sz="0" w:space="0" w:color="auto"/>
            <w:left w:val="none" w:sz="0" w:space="0" w:color="auto"/>
            <w:bottom w:val="none" w:sz="0" w:space="0" w:color="auto"/>
            <w:right w:val="none" w:sz="0" w:space="0" w:color="auto"/>
          </w:divBdr>
          <w:divsChild>
            <w:div w:id="1551840468">
              <w:marLeft w:val="0"/>
              <w:marRight w:val="0"/>
              <w:marTop w:val="0"/>
              <w:marBottom w:val="945"/>
              <w:divBdr>
                <w:top w:val="none" w:sz="0" w:space="0" w:color="auto"/>
                <w:left w:val="none" w:sz="0" w:space="0" w:color="auto"/>
                <w:bottom w:val="none" w:sz="0" w:space="0" w:color="auto"/>
                <w:right w:val="none" w:sz="0" w:space="0" w:color="auto"/>
              </w:divBdr>
            </w:div>
          </w:divsChild>
        </w:div>
      </w:divsChild>
    </w:div>
    <w:div w:id="991327671">
      <w:bodyDiv w:val="1"/>
      <w:marLeft w:val="0"/>
      <w:marRight w:val="0"/>
      <w:marTop w:val="0"/>
      <w:marBottom w:val="0"/>
      <w:divBdr>
        <w:top w:val="none" w:sz="0" w:space="0" w:color="auto"/>
        <w:left w:val="none" w:sz="0" w:space="0" w:color="auto"/>
        <w:bottom w:val="none" w:sz="0" w:space="0" w:color="auto"/>
        <w:right w:val="none" w:sz="0" w:space="0" w:color="auto"/>
      </w:divBdr>
    </w:div>
    <w:div w:id="1022317277">
      <w:bodyDiv w:val="1"/>
      <w:marLeft w:val="0"/>
      <w:marRight w:val="0"/>
      <w:marTop w:val="0"/>
      <w:marBottom w:val="0"/>
      <w:divBdr>
        <w:top w:val="none" w:sz="0" w:space="0" w:color="auto"/>
        <w:left w:val="none" w:sz="0" w:space="0" w:color="auto"/>
        <w:bottom w:val="none" w:sz="0" w:space="0" w:color="auto"/>
        <w:right w:val="none" w:sz="0" w:space="0" w:color="auto"/>
      </w:divBdr>
    </w:div>
    <w:div w:id="1039622571">
      <w:bodyDiv w:val="1"/>
      <w:marLeft w:val="0"/>
      <w:marRight w:val="0"/>
      <w:marTop w:val="0"/>
      <w:marBottom w:val="0"/>
      <w:divBdr>
        <w:top w:val="none" w:sz="0" w:space="0" w:color="auto"/>
        <w:left w:val="none" w:sz="0" w:space="0" w:color="auto"/>
        <w:bottom w:val="none" w:sz="0" w:space="0" w:color="auto"/>
        <w:right w:val="none" w:sz="0" w:space="0" w:color="auto"/>
      </w:divBdr>
    </w:div>
    <w:div w:id="1057162910">
      <w:bodyDiv w:val="1"/>
      <w:marLeft w:val="0"/>
      <w:marRight w:val="0"/>
      <w:marTop w:val="0"/>
      <w:marBottom w:val="0"/>
      <w:divBdr>
        <w:top w:val="none" w:sz="0" w:space="0" w:color="auto"/>
        <w:left w:val="none" w:sz="0" w:space="0" w:color="auto"/>
        <w:bottom w:val="none" w:sz="0" w:space="0" w:color="auto"/>
        <w:right w:val="none" w:sz="0" w:space="0" w:color="auto"/>
      </w:divBdr>
    </w:div>
    <w:div w:id="1062756952">
      <w:bodyDiv w:val="1"/>
      <w:marLeft w:val="0"/>
      <w:marRight w:val="0"/>
      <w:marTop w:val="0"/>
      <w:marBottom w:val="0"/>
      <w:divBdr>
        <w:top w:val="none" w:sz="0" w:space="0" w:color="auto"/>
        <w:left w:val="none" w:sz="0" w:space="0" w:color="auto"/>
        <w:bottom w:val="none" w:sz="0" w:space="0" w:color="auto"/>
        <w:right w:val="none" w:sz="0" w:space="0" w:color="auto"/>
      </w:divBdr>
    </w:div>
    <w:div w:id="1077286767">
      <w:bodyDiv w:val="1"/>
      <w:marLeft w:val="0"/>
      <w:marRight w:val="0"/>
      <w:marTop w:val="0"/>
      <w:marBottom w:val="0"/>
      <w:divBdr>
        <w:top w:val="none" w:sz="0" w:space="0" w:color="auto"/>
        <w:left w:val="none" w:sz="0" w:space="0" w:color="auto"/>
        <w:bottom w:val="none" w:sz="0" w:space="0" w:color="auto"/>
        <w:right w:val="none" w:sz="0" w:space="0" w:color="auto"/>
      </w:divBdr>
    </w:div>
    <w:div w:id="1162694200">
      <w:bodyDiv w:val="1"/>
      <w:marLeft w:val="0"/>
      <w:marRight w:val="0"/>
      <w:marTop w:val="0"/>
      <w:marBottom w:val="0"/>
      <w:divBdr>
        <w:top w:val="none" w:sz="0" w:space="0" w:color="auto"/>
        <w:left w:val="none" w:sz="0" w:space="0" w:color="auto"/>
        <w:bottom w:val="none" w:sz="0" w:space="0" w:color="auto"/>
        <w:right w:val="none" w:sz="0" w:space="0" w:color="auto"/>
      </w:divBdr>
    </w:div>
    <w:div w:id="1175917572">
      <w:bodyDiv w:val="1"/>
      <w:marLeft w:val="0"/>
      <w:marRight w:val="0"/>
      <w:marTop w:val="0"/>
      <w:marBottom w:val="0"/>
      <w:divBdr>
        <w:top w:val="none" w:sz="0" w:space="0" w:color="auto"/>
        <w:left w:val="none" w:sz="0" w:space="0" w:color="auto"/>
        <w:bottom w:val="none" w:sz="0" w:space="0" w:color="auto"/>
        <w:right w:val="none" w:sz="0" w:space="0" w:color="auto"/>
      </w:divBdr>
      <w:divsChild>
        <w:div w:id="870459302">
          <w:marLeft w:val="0"/>
          <w:marRight w:val="0"/>
          <w:marTop w:val="0"/>
          <w:marBottom w:val="0"/>
          <w:divBdr>
            <w:top w:val="none" w:sz="0" w:space="0" w:color="auto"/>
            <w:left w:val="none" w:sz="0" w:space="0" w:color="auto"/>
            <w:bottom w:val="none" w:sz="0" w:space="0" w:color="auto"/>
            <w:right w:val="none" w:sz="0" w:space="0" w:color="auto"/>
          </w:divBdr>
          <w:divsChild>
            <w:div w:id="2119373353">
              <w:marLeft w:val="0"/>
              <w:marRight w:val="0"/>
              <w:marTop w:val="0"/>
              <w:marBottom w:val="0"/>
              <w:divBdr>
                <w:top w:val="none" w:sz="0" w:space="0" w:color="auto"/>
                <w:left w:val="none" w:sz="0" w:space="0" w:color="auto"/>
                <w:bottom w:val="none" w:sz="0" w:space="0" w:color="auto"/>
                <w:right w:val="none" w:sz="0" w:space="0" w:color="auto"/>
              </w:divBdr>
            </w:div>
          </w:divsChild>
        </w:div>
        <w:div w:id="2005012840">
          <w:marLeft w:val="0"/>
          <w:marRight w:val="0"/>
          <w:marTop w:val="0"/>
          <w:marBottom w:val="0"/>
          <w:divBdr>
            <w:top w:val="none" w:sz="0" w:space="0" w:color="auto"/>
            <w:left w:val="none" w:sz="0" w:space="0" w:color="auto"/>
            <w:bottom w:val="none" w:sz="0" w:space="0" w:color="auto"/>
            <w:right w:val="none" w:sz="0" w:space="0" w:color="auto"/>
          </w:divBdr>
          <w:divsChild>
            <w:div w:id="487403129">
              <w:marLeft w:val="0"/>
              <w:marRight w:val="0"/>
              <w:marTop w:val="0"/>
              <w:marBottom w:val="945"/>
              <w:divBdr>
                <w:top w:val="none" w:sz="0" w:space="0" w:color="auto"/>
                <w:left w:val="none" w:sz="0" w:space="0" w:color="auto"/>
                <w:bottom w:val="none" w:sz="0" w:space="0" w:color="auto"/>
                <w:right w:val="none" w:sz="0" w:space="0" w:color="auto"/>
              </w:divBdr>
            </w:div>
          </w:divsChild>
        </w:div>
      </w:divsChild>
    </w:div>
    <w:div w:id="1189875332">
      <w:bodyDiv w:val="1"/>
      <w:marLeft w:val="0"/>
      <w:marRight w:val="0"/>
      <w:marTop w:val="0"/>
      <w:marBottom w:val="0"/>
      <w:divBdr>
        <w:top w:val="none" w:sz="0" w:space="0" w:color="auto"/>
        <w:left w:val="none" w:sz="0" w:space="0" w:color="auto"/>
        <w:bottom w:val="none" w:sz="0" w:space="0" w:color="auto"/>
        <w:right w:val="none" w:sz="0" w:space="0" w:color="auto"/>
      </w:divBdr>
    </w:div>
    <w:div w:id="1248926411">
      <w:bodyDiv w:val="1"/>
      <w:marLeft w:val="0"/>
      <w:marRight w:val="0"/>
      <w:marTop w:val="0"/>
      <w:marBottom w:val="0"/>
      <w:divBdr>
        <w:top w:val="none" w:sz="0" w:space="0" w:color="auto"/>
        <w:left w:val="none" w:sz="0" w:space="0" w:color="auto"/>
        <w:bottom w:val="none" w:sz="0" w:space="0" w:color="auto"/>
        <w:right w:val="none" w:sz="0" w:space="0" w:color="auto"/>
      </w:divBdr>
    </w:div>
    <w:div w:id="1264336545">
      <w:bodyDiv w:val="1"/>
      <w:marLeft w:val="0"/>
      <w:marRight w:val="0"/>
      <w:marTop w:val="0"/>
      <w:marBottom w:val="0"/>
      <w:divBdr>
        <w:top w:val="none" w:sz="0" w:space="0" w:color="auto"/>
        <w:left w:val="none" w:sz="0" w:space="0" w:color="auto"/>
        <w:bottom w:val="none" w:sz="0" w:space="0" w:color="auto"/>
        <w:right w:val="none" w:sz="0" w:space="0" w:color="auto"/>
      </w:divBdr>
    </w:div>
    <w:div w:id="1282153205">
      <w:bodyDiv w:val="1"/>
      <w:marLeft w:val="0"/>
      <w:marRight w:val="0"/>
      <w:marTop w:val="0"/>
      <w:marBottom w:val="0"/>
      <w:divBdr>
        <w:top w:val="none" w:sz="0" w:space="0" w:color="auto"/>
        <w:left w:val="none" w:sz="0" w:space="0" w:color="auto"/>
        <w:bottom w:val="none" w:sz="0" w:space="0" w:color="auto"/>
        <w:right w:val="none" w:sz="0" w:space="0" w:color="auto"/>
      </w:divBdr>
    </w:div>
    <w:div w:id="1285116223">
      <w:bodyDiv w:val="1"/>
      <w:marLeft w:val="0"/>
      <w:marRight w:val="0"/>
      <w:marTop w:val="0"/>
      <w:marBottom w:val="0"/>
      <w:divBdr>
        <w:top w:val="none" w:sz="0" w:space="0" w:color="auto"/>
        <w:left w:val="none" w:sz="0" w:space="0" w:color="auto"/>
        <w:bottom w:val="none" w:sz="0" w:space="0" w:color="auto"/>
        <w:right w:val="none" w:sz="0" w:space="0" w:color="auto"/>
      </w:divBdr>
    </w:div>
    <w:div w:id="1305426241">
      <w:bodyDiv w:val="1"/>
      <w:marLeft w:val="0"/>
      <w:marRight w:val="0"/>
      <w:marTop w:val="0"/>
      <w:marBottom w:val="0"/>
      <w:divBdr>
        <w:top w:val="none" w:sz="0" w:space="0" w:color="auto"/>
        <w:left w:val="none" w:sz="0" w:space="0" w:color="auto"/>
        <w:bottom w:val="none" w:sz="0" w:space="0" w:color="auto"/>
        <w:right w:val="none" w:sz="0" w:space="0" w:color="auto"/>
      </w:divBdr>
    </w:div>
    <w:div w:id="1305889031">
      <w:bodyDiv w:val="1"/>
      <w:marLeft w:val="0"/>
      <w:marRight w:val="0"/>
      <w:marTop w:val="0"/>
      <w:marBottom w:val="0"/>
      <w:divBdr>
        <w:top w:val="none" w:sz="0" w:space="0" w:color="auto"/>
        <w:left w:val="none" w:sz="0" w:space="0" w:color="auto"/>
        <w:bottom w:val="none" w:sz="0" w:space="0" w:color="auto"/>
        <w:right w:val="none" w:sz="0" w:space="0" w:color="auto"/>
      </w:divBdr>
    </w:div>
    <w:div w:id="1341661827">
      <w:bodyDiv w:val="1"/>
      <w:marLeft w:val="0"/>
      <w:marRight w:val="0"/>
      <w:marTop w:val="0"/>
      <w:marBottom w:val="0"/>
      <w:divBdr>
        <w:top w:val="none" w:sz="0" w:space="0" w:color="auto"/>
        <w:left w:val="none" w:sz="0" w:space="0" w:color="auto"/>
        <w:bottom w:val="none" w:sz="0" w:space="0" w:color="auto"/>
        <w:right w:val="none" w:sz="0" w:space="0" w:color="auto"/>
      </w:divBdr>
    </w:div>
    <w:div w:id="1359548001">
      <w:bodyDiv w:val="1"/>
      <w:marLeft w:val="0"/>
      <w:marRight w:val="0"/>
      <w:marTop w:val="0"/>
      <w:marBottom w:val="0"/>
      <w:divBdr>
        <w:top w:val="none" w:sz="0" w:space="0" w:color="auto"/>
        <w:left w:val="none" w:sz="0" w:space="0" w:color="auto"/>
        <w:bottom w:val="none" w:sz="0" w:space="0" w:color="auto"/>
        <w:right w:val="none" w:sz="0" w:space="0" w:color="auto"/>
      </w:divBdr>
      <w:divsChild>
        <w:div w:id="258955512">
          <w:marLeft w:val="547"/>
          <w:marRight w:val="0"/>
          <w:marTop w:val="86"/>
          <w:marBottom w:val="0"/>
          <w:divBdr>
            <w:top w:val="none" w:sz="0" w:space="0" w:color="auto"/>
            <w:left w:val="none" w:sz="0" w:space="0" w:color="auto"/>
            <w:bottom w:val="none" w:sz="0" w:space="0" w:color="auto"/>
            <w:right w:val="none" w:sz="0" w:space="0" w:color="auto"/>
          </w:divBdr>
        </w:div>
      </w:divsChild>
    </w:div>
    <w:div w:id="1408310995">
      <w:bodyDiv w:val="1"/>
      <w:marLeft w:val="0"/>
      <w:marRight w:val="0"/>
      <w:marTop w:val="0"/>
      <w:marBottom w:val="0"/>
      <w:divBdr>
        <w:top w:val="none" w:sz="0" w:space="0" w:color="auto"/>
        <w:left w:val="none" w:sz="0" w:space="0" w:color="auto"/>
        <w:bottom w:val="none" w:sz="0" w:space="0" w:color="auto"/>
        <w:right w:val="none" w:sz="0" w:space="0" w:color="auto"/>
      </w:divBdr>
    </w:div>
    <w:div w:id="1451241769">
      <w:bodyDiv w:val="1"/>
      <w:marLeft w:val="0"/>
      <w:marRight w:val="0"/>
      <w:marTop w:val="0"/>
      <w:marBottom w:val="0"/>
      <w:divBdr>
        <w:top w:val="none" w:sz="0" w:space="0" w:color="auto"/>
        <w:left w:val="none" w:sz="0" w:space="0" w:color="auto"/>
        <w:bottom w:val="none" w:sz="0" w:space="0" w:color="auto"/>
        <w:right w:val="none" w:sz="0" w:space="0" w:color="auto"/>
      </w:divBdr>
    </w:div>
    <w:div w:id="1486625632">
      <w:bodyDiv w:val="1"/>
      <w:marLeft w:val="0"/>
      <w:marRight w:val="0"/>
      <w:marTop w:val="0"/>
      <w:marBottom w:val="0"/>
      <w:divBdr>
        <w:top w:val="none" w:sz="0" w:space="0" w:color="auto"/>
        <w:left w:val="none" w:sz="0" w:space="0" w:color="auto"/>
        <w:bottom w:val="none" w:sz="0" w:space="0" w:color="auto"/>
        <w:right w:val="none" w:sz="0" w:space="0" w:color="auto"/>
      </w:divBdr>
    </w:div>
    <w:div w:id="1525554972">
      <w:bodyDiv w:val="1"/>
      <w:marLeft w:val="0"/>
      <w:marRight w:val="0"/>
      <w:marTop w:val="0"/>
      <w:marBottom w:val="0"/>
      <w:divBdr>
        <w:top w:val="none" w:sz="0" w:space="0" w:color="auto"/>
        <w:left w:val="none" w:sz="0" w:space="0" w:color="auto"/>
        <w:bottom w:val="none" w:sz="0" w:space="0" w:color="auto"/>
        <w:right w:val="none" w:sz="0" w:space="0" w:color="auto"/>
      </w:divBdr>
    </w:div>
    <w:div w:id="1547911555">
      <w:bodyDiv w:val="1"/>
      <w:marLeft w:val="0"/>
      <w:marRight w:val="0"/>
      <w:marTop w:val="0"/>
      <w:marBottom w:val="0"/>
      <w:divBdr>
        <w:top w:val="none" w:sz="0" w:space="0" w:color="auto"/>
        <w:left w:val="none" w:sz="0" w:space="0" w:color="auto"/>
        <w:bottom w:val="none" w:sz="0" w:space="0" w:color="auto"/>
        <w:right w:val="none" w:sz="0" w:space="0" w:color="auto"/>
      </w:divBdr>
    </w:div>
    <w:div w:id="1602226954">
      <w:bodyDiv w:val="1"/>
      <w:marLeft w:val="0"/>
      <w:marRight w:val="0"/>
      <w:marTop w:val="0"/>
      <w:marBottom w:val="0"/>
      <w:divBdr>
        <w:top w:val="none" w:sz="0" w:space="0" w:color="auto"/>
        <w:left w:val="none" w:sz="0" w:space="0" w:color="auto"/>
        <w:bottom w:val="none" w:sz="0" w:space="0" w:color="auto"/>
        <w:right w:val="none" w:sz="0" w:space="0" w:color="auto"/>
      </w:divBdr>
    </w:div>
    <w:div w:id="1610965814">
      <w:bodyDiv w:val="1"/>
      <w:marLeft w:val="0"/>
      <w:marRight w:val="0"/>
      <w:marTop w:val="0"/>
      <w:marBottom w:val="0"/>
      <w:divBdr>
        <w:top w:val="none" w:sz="0" w:space="0" w:color="auto"/>
        <w:left w:val="none" w:sz="0" w:space="0" w:color="auto"/>
        <w:bottom w:val="none" w:sz="0" w:space="0" w:color="auto"/>
        <w:right w:val="none" w:sz="0" w:space="0" w:color="auto"/>
      </w:divBdr>
    </w:div>
    <w:div w:id="1612594116">
      <w:bodyDiv w:val="1"/>
      <w:marLeft w:val="0"/>
      <w:marRight w:val="0"/>
      <w:marTop w:val="0"/>
      <w:marBottom w:val="0"/>
      <w:divBdr>
        <w:top w:val="none" w:sz="0" w:space="0" w:color="auto"/>
        <w:left w:val="none" w:sz="0" w:space="0" w:color="auto"/>
        <w:bottom w:val="none" w:sz="0" w:space="0" w:color="auto"/>
        <w:right w:val="none" w:sz="0" w:space="0" w:color="auto"/>
      </w:divBdr>
    </w:div>
    <w:div w:id="1698434295">
      <w:bodyDiv w:val="1"/>
      <w:marLeft w:val="0"/>
      <w:marRight w:val="0"/>
      <w:marTop w:val="0"/>
      <w:marBottom w:val="0"/>
      <w:divBdr>
        <w:top w:val="none" w:sz="0" w:space="0" w:color="auto"/>
        <w:left w:val="none" w:sz="0" w:space="0" w:color="auto"/>
        <w:bottom w:val="none" w:sz="0" w:space="0" w:color="auto"/>
        <w:right w:val="none" w:sz="0" w:space="0" w:color="auto"/>
      </w:divBdr>
    </w:div>
    <w:div w:id="1718622638">
      <w:bodyDiv w:val="1"/>
      <w:marLeft w:val="0"/>
      <w:marRight w:val="0"/>
      <w:marTop w:val="0"/>
      <w:marBottom w:val="0"/>
      <w:divBdr>
        <w:top w:val="none" w:sz="0" w:space="0" w:color="auto"/>
        <w:left w:val="none" w:sz="0" w:space="0" w:color="auto"/>
        <w:bottom w:val="none" w:sz="0" w:space="0" w:color="auto"/>
        <w:right w:val="none" w:sz="0" w:space="0" w:color="auto"/>
      </w:divBdr>
    </w:div>
    <w:div w:id="1720132915">
      <w:bodyDiv w:val="1"/>
      <w:marLeft w:val="0"/>
      <w:marRight w:val="0"/>
      <w:marTop w:val="0"/>
      <w:marBottom w:val="0"/>
      <w:divBdr>
        <w:top w:val="none" w:sz="0" w:space="0" w:color="auto"/>
        <w:left w:val="none" w:sz="0" w:space="0" w:color="auto"/>
        <w:bottom w:val="none" w:sz="0" w:space="0" w:color="auto"/>
        <w:right w:val="none" w:sz="0" w:space="0" w:color="auto"/>
      </w:divBdr>
    </w:div>
    <w:div w:id="1720592354">
      <w:bodyDiv w:val="1"/>
      <w:marLeft w:val="0"/>
      <w:marRight w:val="0"/>
      <w:marTop w:val="0"/>
      <w:marBottom w:val="0"/>
      <w:divBdr>
        <w:top w:val="none" w:sz="0" w:space="0" w:color="auto"/>
        <w:left w:val="none" w:sz="0" w:space="0" w:color="auto"/>
        <w:bottom w:val="none" w:sz="0" w:space="0" w:color="auto"/>
        <w:right w:val="none" w:sz="0" w:space="0" w:color="auto"/>
      </w:divBdr>
    </w:div>
    <w:div w:id="1723093804">
      <w:bodyDiv w:val="1"/>
      <w:marLeft w:val="0"/>
      <w:marRight w:val="0"/>
      <w:marTop w:val="0"/>
      <w:marBottom w:val="0"/>
      <w:divBdr>
        <w:top w:val="none" w:sz="0" w:space="0" w:color="auto"/>
        <w:left w:val="none" w:sz="0" w:space="0" w:color="auto"/>
        <w:bottom w:val="none" w:sz="0" w:space="0" w:color="auto"/>
        <w:right w:val="none" w:sz="0" w:space="0" w:color="auto"/>
      </w:divBdr>
    </w:div>
    <w:div w:id="1741752193">
      <w:bodyDiv w:val="1"/>
      <w:marLeft w:val="0"/>
      <w:marRight w:val="0"/>
      <w:marTop w:val="0"/>
      <w:marBottom w:val="0"/>
      <w:divBdr>
        <w:top w:val="none" w:sz="0" w:space="0" w:color="auto"/>
        <w:left w:val="none" w:sz="0" w:space="0" w:color="auto"/>
        <w:bottom w:val="none" w:sz="0" w:space="0" w:color="auto"/>
        <w:right w:val="none" w:sz="0" w:space="0" w:color="auto"/>
      </w:divBdr>
    </w:div>
    <w:div w:id="1759793317">
      <w:bodyDiv w:val="1"/>
      <w:marLeft w:val="0"/>
      <w:marRight w:val="0"/>
      <w:marTop w:val="0"/>
      <w:marBottom w:val="0"/>
      <w:divBdr>
        <w:top w:val="none" w:sz="0" w:space="0" w:color="auto"/>
        <w:left w:val="none" w:sz="0" w:space="0" w:color="auto"/>
        <w:bottom w:val="none" w:sz="0" w:space="0" w:color="auto"/>
        <w:right w:val="none" w:sz="0" w:space="0" w:color="auto"/>
      </w:divBdr>
    </w:div>
    <w:div w:id="1764570150">
      <w:bodyDiv w:val="1"/>
      <w:marLeft w:val="0"/>
      <w:marRight w:val="0"/>
      <w:marTop w:val="0"/>
      <w:marBottom w:val="0"/>
      <w:divBdr>
        <w:top w:val="none" w:sz="0" w:space="0" w:color="auto"/>
        <w:left w:val="none" w:sz="0" w:space="0" w:color="auto"/>
        <w:bottom w:val="none" w:sz="0" w:space="0" w:color="auto"/>
        <w:right w:val="none" w:sz="0" w:space="0" w:color="auto"/>
      </w:divBdr>
    </w:div>
    <w:div w:id="1780371361">
      <w:bodyDiv w:val="1"/>
      <w:marLeft w:val="0"/>
      <w:marRight w:val="0"/>
      <w:marTop w:val="0"/>
      <w:marBottom w:val="0"/>
      <w:divBdr>
        <w:top w:val="none" w:sz="0" w:space="0" w:color="auto"/>
        <w:left w:val="none" w:sz="0" w:space="0" w:color="auto"/>
        <w:bottom w:val="none" w:sz="0" w:space="0" w:color="auto"/>
        <w:right w:val="none" w:sz="0" w:space="0" w:color="auto"/>
      </w:divBdr>
    </w:div>
    <w:div w:id="1802265226">
      <w:bodyDiv w:val="1"/>
      <w:marLeft w:val="0"/>
      <w:marRight w:val="0"/>
      <w:marTop w:val="0"/>
      <w:marBottom w:val="0"/>
      <w:divBdr>
        <w:top w:val="none" w:sz="0" w:space="0" w:color="auto"/>
        <w:left w:val="none" w:sz="0" w:space="0" w:color="auto"/>
        <w:bottom w:val="none" w:sz="0" w:space="0" w:color="auto"/>
        <w:right w:val="none" w:sz="0" w:space="0" w:color="auto"/>
      </w:divBdr>
    </w:div>
    <w:div w:id="1821845598">
      <w:bodyDiv w:val="1"/>
      <w:marLeft w:val="0"/>
      <w:marRight w:val="0"/>
      <w:marTop w:val="0"/>
      <w:marBottom w:val="0"/>
      <w:divBdr>
        <w:top w:val="none" w:sz="0" w:space="0" w:color="auto"/>
        <w:left w:val="none" w:sz="0" w:space="0" w:color="auto"/>
        <w:bottom w:val="none" w:sz="0" w:space="0" w:color="auto"/>
        <w:right w:val="none" w:sz="0" w:space="0" w:color="auto"/>
      </w:divBdr>
    </w:div>
    <w:div w:id="1840610063">
      <w:bodyDiv w:val="1"/>
      <w:marLeft w:val="0"/>
      <w:marRight w:val="0"/>
      <w:marTop w:val="0"/>
      <w:marBottom w:val="0"/>
      <w:divBdr>
        <w:top w:val="none" w:sz="0" w:space="0" w:color="auto"/>
        <w:left w:val="none" w:sz="0" w:space="0" w:color="auto"/>
        <w:bottom w:val="none" w:sz="0" w:space="0" w:color="auto"/>
        <w:right w:val="none" w:sz="0" w:space="0" w:color="auto"/>
      </w:divBdr>
    </w:div>
    <w:div w:id="1841382558">
      <w:bodyDiv w:val="1"/>
      <w:marLeft w:val="0"/>
      <w:marRight w:val="0"/>
      <w:marTop w:val="0"/>
      <w:marBottom w:val="0"/>
      <w:divBdr>
        <w:top w:val="none" w:sz="0" w:space="0" w:color="auto"/>
        <w:left w:val="none" w:sz="0" w:space="0" w:color="auto"/>
        <w:bottom w:val="none" w:sz="0" w:space="0" w:color="auto"/>
        <w:right w:val="none" w:sz="0" w:space="0" w:color="auto"/>
      </w:divBdr>
    </w:div>
    <w:div w:id="1881699848">
      <w:bodyDiv w:val="1"/>
      <w:marLeft w:val="0"/>
      <w:marRight w:val="0"/>
      <w:marTop w:val="0"/>
      <w:marBottom w:val="0"/>
      <w:divBdr>
        <w:top w:val="none" w:sz="0" w:space="0" w:color="auto"/>
        <w:left w:val="none" w:sz="0" w:space="0" w:color="auto"/>
        <w:bottom w:val="none" w:sz="0" w:space="0" w:color="auto"/>
        <w:right w:val="none" w:sz="0" w:space="0" w:color="auto"/>
      </w:divBdr>
    </w:div>
    <w:div w:id="1887791844">
      <w:bodyDiv w:val="1"/>
      <w:marLeft w:val="0"/>
      <w:marRight w:val="0"/>
      <w:marTop w:val="0"/>
      <w:marBottom w:val="0"/>
      <w:divBdr>
        <w:top w:val="none" w:sz="0" w:space="0" w:color="auto"/>
        <w:left w:val="none" w:sz="0" w:space="0" w:color="auto"/>
        <w:bottom w:val="none" w:sz="0" w:space="0" w:color="auto"/>
        <w:right w:val="none" w:sz="0" w:space="0" w:color="auto"/>
      </w:divBdr>
      <w:divsChild>
        <w:div w:id="580483204">
          <w:marLeft w:val="0"/>
          <w:marRight w:val="0"/>
          <w:marTop w:val="0"/>
          <w:marBottom w:val="0"/>
          <w:divBdr>
            <w:top w:val="none" w:sz="0" w:space="0" w:color="auto"/>
            <w:left w:val="none" w:sz="0" w:space="0" w:color="auto"/>
            <w:bottom w:val="none" w:sz="0" w:space="0" w:color="auto"/>
            <w:right w:val="none" w:sz="0" w:space="0" w:color="auto"/>
          </w:divBdr>
          <w:divsChild>
            <w:div w:id="721053841">
              <w:marLeft w:val="0"/>
              <w:marRight w:val="0"/>
              <w:marTop w:val="0"/>
              <w:marBottom w:val="0"/>
              <w:divBdr>
                <w:top w:val="none" w:sz="0" w:space="0" w:color="auto"/>
                <w:left w:val="none" w:sz="0" w:space="0" w:color="auto"/>
                <w:bottom w:val="none" w:sz="0" w:space="0" w:color="auto"/>
                <w:right w:val="none" w:sz="0" w:space="0" w:color="auto"/>
              </w:divBdr>
            </w:div>
          </w:divsChild>
        </w:div>
        <w:div w:id="1789859931">
          <w:marLeft w:val="0"/>
          <w:marRight w:val="0"/>
          <w:marTop w:val="0"/>
          <w:marBottom w:val="0"/>
          <w:divBdr>
            <w:top w:val="none" w:sz="0" w:space="0" w:color="auto"/>
            <w:left w:val="none" w:sz="0" w:space="0" w:color="auto"/>
            <w:bottom w:val="none" w:sz="0" w:space="0" w:color="auto"/>
            <w:right w:val="none" w:sz="0" w:space="0" w:color="auto"/>
          </w:divBdr>
          <w:divsChild>
            <w:div w:id="197478695">
              <w:marLeft w:val="0"/>
              <w:marRight w:val="0"/>
              <w:marTop w:val="0"/>
              <w:marBottom w:val="945"/>
              <w:divBdr>
                <w:top w:val="none" w:sz="0" w:space="0" w:color="auto"/>
                <w:left w:val="none" w:sz="0" w:space="0" w:color="auto"/>
                <w:bottom w:val="none" w:sz="0" w:space="0" w:color="auto"/>
                <w:right w:val="none" w:sz="0" w:space="0" w:color="auto"/>
              </w:divBdr>
            </w:div>
          </w:divsChild>
        </w:div>
      </w:divsChild>
    </w:div>
    <w:div w:id="1912498869">
      <w:bodyDiv w:val="1"/>
      <w:marLeft w:val="0"/>
      <w:marRight w:val="0"/>
      <w:marTop w:val="0"/>
      <w:marBottom w:val="0"/>
      <w:divBdr>
        <w:top w:val="none" w:sz="0" w:space="0" w:color="auto"/>
        <w:left w:val="none" w:sz="0" w:space="0" w:color="auto"/>
        <w:bottom w:val="none" w:sz="0" w:space="0" w:color="auto"/>
        <w:right w:val="none" w:sz="0" w:space="0" w:color="auto"/>
      </w:divBdr>
    </w:div>
    <w:div w:id="1965454819">
      <w:bodyDiv w:val="1"/>
      <w:marLeft w:val="0"/>
      <w:marRight w:val="0"/>
      <w:marTop w:val="0"/>
      <w:marBottom w:val="0"/>
      <w:divBdr>
        <w:top w:val="none" w:sz="0" w:space="0" w:color="auto"/>
        <w:left w:val="none" w:sz="0" w:space="0" w:color="auto"/>
        <w:bottom w:val="none" w:sz="0" w:space="0" w:color="auto"/>
        <w:right w:val="none" w:sz="0" w:space="0" w:color="auto"/>
      </w:divBdr>
    </w:div>
    <w:div w:id="2039769184">
      <w:bodyDiv w:val="1"/>
      <w:marLeft w:val="0"/>
      <w:marRight w:val="0"/>
      <w:marTop w:val="0"/>
      <w:marBottom w:val="0"/>
      <w:divBdr>
        <w:top w:val="none" w:sz="0" w:space="0" w:color="auto"/>
        <w:left w:val="none" w:sz="0" w:space="0" w:color="auto"/>
        <w:bottom w:val="none" w:sz="0" w:space="0" w:color="auto"/>
        <w:right w:val="none" w:sz="0" w:space="0" w:color="auto"/>
      </w:divBdr>
    </w:div>
    <w:div w:id="2040279308">
      <w:bodyDiv w:val="1"/>
      <w:marLeft w:val="0"/>
      <w:marRight w:val="0"/>
      <w:marTop w:val="0"/>
      <w:marBottom w:val="0"/>
      <w:divBdr>
        <w:top w:val="none" w:sz="0" w:space="0" w:color="auto"/>
        <w:left w:val="none" w:sz="0" w:space="0" w:color="auto"/>
        <w:bottom w:val="none" w:sz="0" w:space="0" w:color="auto"/>
        <w:right w:val="none" w:sz="0" w:space="0" w:color="auto"/>
      </w:divBdr>
    </w:div>
    <w:div w:id="2069566070">
      <w:bodyDiv w:val="1"/>
      <w:marLeft w:val="0"/>
      <w:marRight w:val="0"/>
      <w:marTop w:val="0"/>
      <w:marBottom w:val="0"/>
      <w:divBdr>
        <w:top w:val="none" w:sz="0" w:space="0" w:color="auto"/>
        <w:left w:val="none" w:sz="0" w:space="0" w:color="auto"/>
        <w:bottom w:val="none" w:sz="0" w:space="0" w:color="auto"/>
        <w:right w:val="none" w:sz="0" w:space="0" w:color="auto"/>
      </w:divBdr>
    </w:div>
    <w:div w:id="2076777517">
      <w:bodyDiv w:val="1"/>
      <w:marLeft w:val="0"/>
      <w:marRight w:val="0"/>
      <w:marTop w:val="0"/>
      <w:marBottom w:val="0"/>
      <w:divBdr>
        <w:top w:val="none" w:sz="0" w:space="0" w:color="auto"/>
        <w:left w:val="none" w:sz="0" w:space="0" w:color="auto"/>
        <w:bottom w:val="none" w:sz="0" w:space="0" w:color="auto"/>
        <w:right w:val="none" w:sz="0" w:space="0" w:color="auto"/>
      </w:divBdr>
    </w:div>
    <w:div w:id="2100639057">
      <w:bodyDiv w:val="1"/>
      <w:marLeft w:val="0"/>
      <w:marRight w:val="0"/>
      <w:marTop w:val="0"/>
      <w:marBottom w:val="0"/>
      <w:divBdr>
        <w:top w:val="none" w:sz="0" w:space="0" w:color="auto"/>
        <w:left w:val="none" w:sz="0" w:space="0" w:color="auto"/>
        <w:bottom w:val="none" w:sz="0" w:space="0" w:color="auto"/>
        <w:right w:val="none" w:sz="0" w:space="0" w:color="auto"/>
      </w:divBdr>
    </w:div>
    <w:div w:id="211586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emf"/><Relationship Id="rId10" Type="http://schemas.openxmlformats.org/officeDocument/2006/relationships/hyperlink" Target="https://economipedia.com/definiciones/mercados-financieros.html" TargetMode="External"/><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statista.com/estadisticas/598893/ingresos-de-pfizer-a-nivel-mundial/"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Eli12</b:Tag>
    <b:SourceType>Book</b:SourceType>
    <b:Guid>{B3DB80C9-9352-4942-BB37-8B02FE72E5F4}</b:Guid>
    <b:Title>Macroeconomía</b:Title>
    <b:Year>2012</b:Year>
    <b:City>Tlalnepantla</b:City>
    <b:Publisher>RED TERCER MILENIO S.C</b:Publisher>
    <b:Author>
      <b:Author>
        <b:NameList>
          <b:Person>
            <b:Last>Elizalde Ángeles</b:Last>
            <b:First>Elsa Norma</b:First>
          </b:Person>
        </b:NameList>
      </b:Author>
    </b:Author>
    <b:RefOrder>12</b:RefOrder>
  </b:Source>
  <b:Source>
    <b:Tag>Per</b:Tag>
    <b:SourceType>InternetSite</b:SourceType>
    <b:Guid>{683C391E-651B-43E2-AED5-4A41F197FD7A}</b:Guid>
    <b:Title>Zona Económica</b:Title>
    <b:Author>
      <b:Author>
        <b:NameList>
          <b:Person>
            <b:Last>Perez </b:Last>
            <b:First>Leonardo</b:First>
          </b:Person>
          <b:Person>
            <b:Last>Jiménez </b:Last>
            <b:First>Elizabeth</b:First>
          </b:Person>
        </b:NameList>
      </b:Author>
    </b:Author>
    <b:URL>https://www.zonaeconomica.com/ciclos-economicos</b:URL>
    <b:RefOrder>13</b:RefOrder>
  </b:Source>
  <b:Source>
    <b:Tag>Gou05</b:Tag>
    <b:SourceType>Book</b:SourceType>
    <b:Guid>{82AF670B-3BC8-473A-92FD-0DA21C48A571}</b:Guid>
    <b:Title>Comprender la Economía</b:Title>
    <b:Year>2005</b:Year>
    <b:Author>
      <b:Author>
        <b:NameList>
          <b:Person>
            <b:Last>Gouverneur</b:Last>
            <b:First>Jacques</b:First>
          </b:Person>
        </b:NameList>
      </b:Author>
    </b:Author>
    <b:RefOrder>14</b:RefOrder>
  </b:Source>
  <b:Source>
    <b:Tag>Hoo01</b:Tag>
    <b:SourceType>Book</b:SourceType>
    <b:Guid>{A539968E-56D0-425B-8FB5-14ACCEA46C34}</b:Guid>
    <b:Title> Emerging Markets: A practical guide for corporations, lenders and investors</b:Title>
    <b:Year>2001</b:Year>
    <b:City>Estados Unidos</b:City>
    <b:Publisher>John Wiley &amp; Sons Editorial</b:Publisher>
    <b:Author>
      <b:Author>
        <b:NameList>
          <b:Person>
            <b:Last>Hooke</b:Last>
            <b:Middle>C.</b:Middle>
            <b:First>Jeffrey</b:First>
          </b:Person>
        </b:NameList>
      </b:Author>
    </b:Author>
    <b:RefOrder>15</b:RefOrder>
  </b:Source>
  <b:Source>
    <b:Tag>Edi04</b:Tag>
    <b:SourceType>JournalArticle</b:SourceType>
    <b:Guid>{65D32241-6CDF-449B-87AE-4AE71521AF2C}</b:Guid>
    <b:Title>U. S. Investors' Emergin Market Equity Porfolios: A security-level Analysis</b:Title>
    <b:Year>2004</b:Year>
    <b:Author>
      <b:Author>
        <b:NameList>
          <b:Person>
            <b:Last>Edison</b:Last>
            <b:Middle>J.</b:Middle>
            <b:First>Hali</b:First>
          </b:Person>
          <b:Person>
            <b:Last>Warnock</b:Last>
            <b:Middle>E.</b:Middle>
            <b:First>Francis</b:First>
          </b:Person>
        </b:NameList>
      </b:Author>
    </b:Author>
    <b:JournalName>The review of Economics and Statistics</b:JournalName>
    <b:Pages>691-704</b:Pages>
    <b:RefOrder>16</b:RefOrder>
  </b:Source>
  <b:Source>
    <b:Tag>Mar13</b:Tag>
    <b:SourceType>JournalArticle</b:SourceType>
    <b:Guid>{3E7407F0-FC0F-4D92-BC92-12D0E6119719}</b:Guid>
    <b:Title>Particularidades del Modelo de Fijación de Precios de Activos de Capital (CAPM) en Mercados Emergentes</b:Title>
    <b:Year>2013</b:Year>
    <b:Pages>34-47</b:Pages>
    <b:JournalName>Análisis Financiero</b:JournalName>
    <b:Author>
      <b:Author>
        <b:NameList>
          <b:Person>
            <b:Last>Martinez</b:Last>
            <b:Middle>E.</b:Middle>
            <b:First>Carlos </b:First>
          </b:Person>
          <b:Person>
            <b:Last>Ledesma </b:Last>
            <b:Middle>S.</b:Middle>
            <b:First>Juan </b:First>
          </b:Person>
          <b:Person>
            <b:Last>Russo</b:Last>
            <b:Middle>O.</b:Middle>
            <b:First>Alfredo</b:First>
          </b:Person>
        </b:NameList>
      </b:Author>
    </b:Author>
    <b:RefOrder>17</b:RefOrder>
  </b:Source>
  <b:Source>
    <b:Tag>God96</b:Tag>
    <b:SourceType>JournalArticle</b:SourceType>
    <b:Guid>{D954D5C2-E456-4528-8444-7633C4C87CD8}</b:Guid>
    <b:Title>A practical Approach to Calculating Costs of Equity for Investment in Emerging Markets</b:Title>
    <b:JournalName>Journal of Applied Corporate Finance </b:JournalName>
    <b:Year>1996</b:Year>
    <b:Pages>80-99</b:Pages>
    <b:Author>
      <b:Author>
        <b:NameList>
          <b:Person>
            <b:Last>Godfrey</b:Last>
            <b:First>Steven</b:First>
          </b:Person>
          <b:Person>
            <b:Last>Espinosa</b:Last>
            <b:First>Ramon</b:First>
          </b:Person>
        </b:NameList>
      </b:Author>
    </b:Author>
    <b:RefOrder>18</b:RefOrder>
  </b:Source>
  <b:Source>
    <b:Tag>Les96</b:Tag>
    <b:SourceType>JournalArticle</b:SourceType>
    <b:Guid>{83A3DB77-0B4E-4158-8DC9-DFA2F8E7B3C0}</b:Guid>
    <b:Title> Incorporating Country Risk in the Valuation of Offshore Projects</b:Title>
    <b:JournalName> Journal of Applied Corporate Finance</b:JournalName>
    <b:Year>1996</b:Year>
    <b:Pages>52-</b:Pages>
    <b:Author>
      <b:Author>
        <b:NameList>
          <b:Person>
            <b:Last>Lessard</b:Last>
            <b:Middle>R.</b:Middle>
            <b:First>Ronald</b:First>
          </b:Person>
        </b:NameList>
      </b:Author>
    </b:Author>
    <b:RefOrder>19</b:RefOrder>
  </b:Source>
  <b:Source>
    <b:Tag>Fre15</b:Tag>
    <b:SourceType>InternetSite</b:SourceType>
    <b:Guid>{B011FFB5-BD95-4B85-B6D7-F5BB75DFF9E1}</b:Guid>
    <b:Title>Cambio en la Matriz Productiva</b:Title>
    <b:Year>2015</b:Year>
    <b:Author>
      <b:Author>
        <b:NameList>
          <b:Person>
            <b:Last>Morales</b:Last>
            <b:First>Freddy</b:First>
          </b:Person>
        </b:NameList>
      </b:Author>
    </b:Author>
    <b:URL>http://economiaenbicicleta.com/cambio-de-la-matriz-productiva/</b:URL>
    <b:RefOrder>20</b:RefOrder>
  </b:Source>
  <b:Source>
    <b:Tag>Vic07</b:Tag>
    <b:SourceType>Report</b:SourceType>
    <b:Guid>{58FEC363-5849-4AEC-8C3B-7CAF1B06F842}</b:Guid>
    <b:Title>Estrategia Nacional para el Cambio de la Matriz Productiva</b:Title>
    <b:Year>2007</b:Year>
    <b:Author>
      <b:Author>
        <b:NameList>
          <b:Person>
            <b:Last>Ecuador</b:Last>
            <b:First>Viceprecidencia</b:First>
            <b:Middle>de la República del</b:Middle>
          </b:Person>
        </b:NameList>
      </b:Author>
    </b:Author>
    <b:RefOrder>21</b:RefOrder>
  </b:Source>
  <b:Source>
    <b:Tag>SEN12</b:Tag>
    <b:SourceType>Report</b:SourceType>
    <b:Guid>{8A1B964F-48CB-4FAF-8034-109EBB88AF2F}</b:Guid>
    <b:Author>
      <b:Author>
        <b:NameList>
          <b:Person>
            <b:Last>SENPLADES</b:Last>
          </b:Person>
        </b:NameList>
      </b:Author>
    </b:Author>
    <b:Title>Transformación de la Matriz Productiva</b:Title>
    <b:Year>2012</b:Year>
    <b:City>Quito</b:City>
    <b:RefOrder>22</b:RefOrder>
  </b:Source>
  <b:Source>
    <b:Tag>Pro19</b:Tag>
    <b:SourceType>Report</b:SourceType>
    <b:Guid>{CFBC7C18-3C33-4367-BC1F-5565CC0EC7E8}</b:Guid>
    <b:Title>ACIERTOS Y DESACIERTOS DE LA MATRIZ PRODUCTIVA EN EL ECUADOR</b:Title>
    <b:Year>2019</b:Year>
    <b:Author>
      <b:Author>
        <b:NameList>
          <b:Person>
            <b:Last>Jhonnatan</b:Last>
            <b:First>Proaño</b:First>
            <b:Middle>Altamirano Gladys Elizabeth y Pérez Ortiz Santiago</b:Middle>
          </b:Person>
        </b:NameList>
      </b:Author>
    </b:Author>
    <b:Publisher>Revista Observatorio de la Economía</b:Publisher>
    <b:RefOrder>23</b:RefOrder>
  </b:Source>
  <b:Source>
    <b:Tag>ElU18</b:Tag>
    <b:SourceType>ArticleInAPeriodical</b:SourceType>
    <b:Guid>{10A4236D-B1A4-436E-925B-9F3A3F9B2D6F}</b:Guid>
    <b:Title>Cambio de Matriz Productiva camina con lentitud en Ecuador</b:Title>
    <b:Year>2018</b:Year>
    <b:Author>
      <b:Author>
        <b:NameList>
          <b:Person>
            <b:Last>Universo</b:Last>
            <b:First>El</b:First>
          </b:Person>
        </b:NameList>
      </b:Author>
    </b:Author>
    <b:PeriodicalTitle>El Universo</b:PeriodicalTitle>
    <b:Month>Julio</b:Month>
    <b:Day>01</b:Day>
    <b:RefOrder>24</b:RefOrder>
  </b:Source>
  <b:Source>
    <b:Tag>REP17</b:Tag>
    <b:SourceType>Report</b:SourceType>
    <b:Guid>{6C4E3B09-3BB7-405A-A2E2-E8CC01D2EB42}</b:Guid>
    <b:Author>
      <b:Author>
        <b:NameList>
          <b:Person>
            <b:Last>(CNP)</b:Last>
            <b:First>REPÚBLICA</b:First>
            <b:Middle>DEL ECUADOR- CONSEJO NACIONAL DE PLANIFICACIÓN</b:Middle>
          </b:Person>
        </b:NameList>
      </b:Author>
    </b:Author>
    <b:Title>Plan de Desarrollo Nacional 2017-2021</b:Title>
    <b:Year>2017</b:Year>
    <b:RefOrder>25</b:RefOrder>
  </b:Source>
  <b:Source>
    <b:Tag>Der14</b:Tag>
    <b:SourceType>Report</b:SourceType>
    <b:Guid>{205A5E46-2149-45D2-AD5E-06672AF2D2CB}</b:Guid>
    <b:Author>
      <b:Author>
        <b:NameList>
          <b:Person>
            <b:Last>Ecuador</b:Last>
            <b:First>Derecho</b:First>
          </b:Person>
        </b:NameList>
      </b:Author>
    </b:Author>
    <b:Title>Actos gravados con el impuesto de alcabala</b:Title>
    <b:Year>2014</b:Year>
    <b:City>Quito-Ecuador</b:City>
    <b:RefOrder>26</b:RefOrder>
  </b:Source>
  <b:Source>
    <b:Tag>Trá</b:Tag>
    <b:SourceType>Report</b:SourceType>
    <b:Guid>{426E008B-A34D-4211-9BCD-A263FA457407}</b:Guid>
    <b:Author>
      <b:Author>
        <b:NameList>
          <b:Person>
            <b:Last>Ecuador</b:Last>
            <b:First>Trámites</b:First>
          </b:Person>
        </b:NameList>
      </b:Author>
    </b:Author>
    <b:Title>TRANSFERENCIA DE DOMINIO DE BIENES INMUEBLES (APLICACIÓN DE LOS IMPUESTOS DE ALCABALA Y A LA UTILIDAD O PLUSVALÍA) – QUITO</b:Title>
    <b:City>Quito</b:City>
    <b:RefOrder>27</b:RefOrder>
  </b:Source>
  <b:Source>
    <b:Tag>SRI19</b:Tag>
    <b:SourceType>Report</b:SourceType>
    <b:Guid>{61E79DA6-34EB-486D-B9EA-201813726E06}</b:Guid>
    <b:Author>
      <b:Author>
        <b:NameList>
          <b:Person>
            <b:Last>SRI</b:Last>
          </b:Person>
        </b:NameList>
      </b:Author>
    </b:Author>
    <b:Title>IMPUESTO A LOS VEHICULOS MOTORIZADOS</b:Title>
    <b:Year>2019</b:Year>
    <b:RefOrder>28</b:RefOrder>
  </b:Source>
  <b:Source>
    <b:Tag>Pér</b:Tag>
    <b:SourceType>Report</b:SourceType>
    <b:Guid>{F989148A-82B2-4737-948D-3E4330AAA9EC}</b:Guid>
    <b:Title>La competencia desleal en el Ecuador: procesos administrativos y judiciales para conocer y resolver actos de competencia desleal que afectan al interés particular.</b:Title>
    <b:Author>
      <b:Author>
        <b:NameList>
          <b:Person>
            <b:Last>Pérez</b:Last>
            <b:First>Franciaco</b:First>
            <b:Middle>Ortiz</b:Middle>
          </b:Person>
        </b:NameList>
      </b:Author>
    </b:Author>
    <b:Year>2015</b:Year>
    <b:Publisher>Universidad de Las Americas</b:Publisher>
    <b:City>Quito</b:City>
    <b:RefOrder>29</b:RefOrder>
  </b:Source>
  <b:Source>
    <b:Tag>Seb04</b:Tag>
    <b:SourceType>Book</b:SourceType>
    <b:Guid>{322517F6-7575-425F-850A-F0F8CC3D6EF7}</b:Guid>
    <b:Title>Competencia desleal: Actos de desorganización del competidor</b:Title>
    <b:Year>2004</b:Year>
    <b:Author>
      <b:Author>
        <b:NameList>
          <b:Person>
            <b:Last>Menéndez</b:Last>
            <b:First>Sebastian</b:First>
            <b:Middle>Alfredo García</b:Middle>
          </b:Person>
        </b:NameList>
      </b:Author>
    </b:Author>
    <b:City>Buenos Aires</b:City>
    <b:Publisher>LexisNexis</b:Publisher>
    <b:RefOrder>30</b:RefOrder>
  </b:Source>
  <b:Source>
    <b:Tag>Rep11</b:Tag>
    <b:SourceType>Report</b:SourceType>
    <b:Guid>{106E4E5B-E3D9-48E6-99B5-813F41F96904}</b:Guid>
    <b:Author>
      <b:Author>
        <b:NameList>
          <b:Person>
            <b:Last>Republica del Ecuador</b:Last>
            <b:First>Asamblea</b:First>
            <b:Middle>Nacional</b:Middle>
          </b:Person>
        </b:NameList>
      </b:Author>
    </b:Author>
    <b:Title>LEY ORGÁNICA DE REGULACIÓN Y CONTROL DEL PODER DE MERCADO</b:Title>
    <b:Year>2011</b:Year>
    <b:RefOrder>31</b:RefOrder>
  </b:Source>
  <b:Source>
    <b:Tag>Per20</b:Tag>
    <b:SourceType>InternetSite</b:SourceType>
    <b:Guid>{22CC5A18-4572-402B-94A9-4CD369A3D427}</b:Guid>
    <b:Title>Dif Markets</b:Title>
    <b:Year>2020</b:Year>
    <b:Author>
      <b:Author>
        <b:NameList>
          <b:Person>
            <b:Last>Simões</b:Last>
            <b:First>Pereira</b:First>
            <b:Middle>Luis</b:Middle>
          </b:Person>
        </b:NameList>
      </b:Author>
    </b:Author>
    <b:Month>Septiembre</b:Month>
    <b:Day>23</b:Day>
    <b:URL>https://www.difmarkets.com/es/articulos/invertir-empresas-vacunas-covid/</b:URL>
    <b:RefOrder>1</b:RefOrder>
  </b:Source>
  <b:Source>
    <b:Tag>MarcadorDePosición1</b:Tag>
    <b:SourceType>InternetSite</b:SourceType>
    <b:Guid>{E3484795-EDF6-4149-BFA1-637D995A3F5F}</b:Guid>
    <b:Author>
      <b:Author>
        <b:NameList>
          <b:Person>
            <b:Last>Fernández</b:Last>
            <b:First>Lucia</b:First>
          </b:Person>
        </b:NameList>
      </b:Author>
    </b:Author>
    <b:Title>Statista</b:Title>
    <b:Year>2020</b:Year>
    <b:Month>Septiembre</b:Month>
    <b:Day>24</b:Day>
    <b:URL>https://es.statista.com/temas/3631/grupo-pfizer/</b:URL>
    <b:RefOrder>2</b:RefOrder>
  </b:Source>
  <b:Source>
    <b:Tag>Ade14</b:Tag>
    <b:SourceType>ConferenceProceedings</b:SourceType>
    <b:Guid>{9B023F85-5903-4D03-9DA8-D50819D5D984}</b:Guid>
    <b:Title>Stock Price Prediction Using the ARIMA Model</b:Title>
    <b:Year>2014</b:Year>
    <b:Author>
      <b:Author>
        <b:NameList>
          <b:Person>
            <b:Last>Adebiyi</b:Last>
            <b:Middle>A.</b:Middle>
            <b:First>Ayodele</b:First>
          </b:Person>
          <b:Person>
            <b:Last>Adewumi</b:Last>
            <b:Middle>O.</b:Middle>
            <b:First>Aderemi</b:First>
          </b:Person>
          <b:Person>
            <b:Last>Ayo</b:Last>
            <b:Middle>K.</b:Middle>
            <b:First>Charles</b:First>
          </b:Person>
        </b:NameList>
      </b:Author>
    </b:Author>
    <b:ConferenceName>2014 UKSim-AMSS 16th International Conference on Computer Modelling and Simulation</b:ConferenceName>
    <b:RefOrder>3</b:RefOrder>
  </b:Source>
  <b:Source>
    <b:Tag>Gos14</b:Tag>
    <b:SourceType>JournalArticle</b:SourceType>
    <b:Guid>{399FD6CD-2D47-4A8A-A201-06B8F0536B90}</b:Guid>
    <b:Title>STUDY OF EFFECTIVENESS OF TIME SERIES MODELING (ARIMA) IN FORECASTING STOCK PRICES</b:Title>
    <b:Year>2014</b:Year>
    <b:Author>
      <b:Author>
        <b:NameList>
          <b:Person>
            <b:Last>Goswami</b:Last>
            <b:First>Saptarsi</b:First>
          </b:Person>
          <b:Person>
            <b:Last>Shit</b:Last>
            <b:First>Labani</b:First>
          </b:Person>
          <b:Person>
            <b:Last>Mondal</b:Last>
            <b:First>Prapanna</b:First>
          </b:Person>
        </b:NameList>
      </b:Author>
    </b:Author>
    <b:JournalName>International Journal of Computer Science, Engineering and Applications</b:JournalName>
    <b:RefOrder>4</b:RefOrder>
  </b:Source>
  <b:Source>
    <b:Tag>Arn</b:Tag>
    <b:SourceType>Report</b:SourceType>
    <b:Guid>{84A4EE2B-9DD2-4A30-B6B2-8774FEA580D2}</b:Guid>
    <b:Title>Effectiveness of Monte Carlo Simulation and Arima Model in Prediting Stock Prices</b:Title>
    <b:Author>
      <b:Author>
        <b:NameList>
          <b:Person>
            <b:Last>Arnaut-Berilo</b:Last>
            <b:First>Almira</b:First>
          </b:Person>
          <b:Person>
            <b:Last>Zaimovic</b:Last>
            <b:First>Azra</b:First>
          </b:Person>
          <b:Person>
            <b:Last>Turbo-Merdan</b:Last>
            <b:First>Nedzmija</b:First>
          </b:Person>
        </b:NameList>
      </b:Author>
    </b:Author>
    <b:Year>2017</b:Year>
    <b:RefOrder>5</b:RefOrder>
  </b:Source>
  <b:Source>
    <b:Tag>Tre03</b:Tag>
    <b:SourceType>JournalArticle</b:SourceType>
    <b:Guid>{2CC5679D-AC1E-4845-A93D-81FF337FE78D}</b:Guid>
    <b:Title>MODELO DE PREDICCION DEL PRECIO DE LA ACCION ORDINARIA CEMENTOS ARGOS</b:Title>
    <b:Year>2003</b:Year>
    <b:Author>
      <b:Author>
        <b:NameList>
          <b:Person>
            <b:Last>Trejos</b:Last>
            <b:First>Alvaro</b:First>
          </b:Person>
          <b:Person>
            <b:Last>Nieto</b:Last>
            <b:First>Sebastián</b:First>
          </b:Person>
          <b:Person>
            <b:Last>Carvajal</b:Last>
            <b:First>Patricia</b:First>
          </b:Person>
        </b:NameList>
      </b:Author>
    </b:Author>
    <b:JournalName>Scientia et Technica</b:JournalName>
    <b:RefOrder>6</b:RefOrder>
  </b:Source>
  <b:Source>
    <b:Tag>Mej17</b:Tag>
    <b:SourceType>JournalArticle</b:SourceType>
    <b:Guid>{7EE23B8B-1704-48D3-A5A5-D76B18CF586F}</b:Guid>
    <b:Author>
      <b:Author>
        <b:NameList>
          <b:Person>
            <b:Last>Mejia</b:Last>
            <b:First>Raúl</b:First>
          </b:Person>
          <b:Person>
            <b:Last>Hilario</b:Last>
            <b:First>Luciano</b:First>
          </b:Person>
          <b:Person>
            <b:Last>López</b:Last>
            <b:First>Marcela</b:First>
          </b:Person>
        </b:NameList>
      </b:Author>
    </b:Author>
    <b:Title>Predicción del precio diario de la acción de The Coca Cola Company</b:Title>
    <b:JournalName>Boletín Científico de la Escuela Superior Tepeji del Rio</b:JournalName>
    <b:Year>2017</b:Year>
    <b:RefOrder>7</b:RefOrder>
  </b:Source>
  <b:Source>
    <b:Tag>Ber09</b:Tag>
    <b:SourceType>JournalArticle</b:SourceType>
    <b:Guid>{84C2A062-9FCE-4C07-AA9F-B4EC2D92257E}</b:Guid>
    <b:Author>
      <b:Author>
        <b:NameList>
          <b:Person>
            <b:Last>Bermejo</b:Last>
            <b:First>Antonio</b:First>
          </b:Person>
          <b:Person>
            <b:Last>Torres</b:Last>
            <b:First>José</b:First>
          </b:Person>
          <b:Person>
            <b:Last>Masferrer</b:Last>
            <b:First>Núria</b:First>
          </b:Person>
        </b:NameList>
      </b:Author>
    </b:Author>
    <b:Title>LA UTILIZACION DE LOS MODELOS ARIMA EN LA ESTIMACION DEL PRECIO DE ACCIONES: UNA APLICACION PRELIMINAR</b:Title>
    <b:JournalName>Depósito de Investigación Universidad de Sevilla</b:JournalName>
    <b:Year>2009</b:Year>
    <b:RefOrder>8</b:RefOrder>
  </b:Source>
  <b:Source>
    <b:Tag>BBVsf</b:Tag>
    <b:SourceType>DocumentFromInternetSite</b:SourceType>
    <b:Guid>{E6FF4D91-68F8-4162-A0FB-4610460F991C}</b:Guid>
    <b:Title>Factores que influyen en el precio de las accciones</b:Title>
    <b:Year>s.f</b:Year>
    <b:Author>
      <b:Author>
        <b:NameList>
          <b:Person>
            <b:Last>BBVA</b:Last>
          </b:Person>
        </b:NameList>
      </b:Author>
    </b:Author>
    <b:URL>https://www.bbva.es/estaticos/mult/Ayudas_factores_acciones.pdf_tcm924-528182.pdf</b:URL>
    <b:RefOrder>9</b:RefOrder>
  </b:Source>
  <b:Source>
    <b:Tag>sta</b:Tag>
    <b:SourceType>InternetSite</b:SourceType>
    <b:Guid>{091C4EB2-AD9F-4B18-82C2-FA5224997608}</b:Guid>
    <b:Title>Stata</b:Title>
    <b:Author>
      <b:Author>
        <b:NameList>
          <b:Person>
            <b:Last>stata</b:Last>
          </b:Person>
        </b:NameList>
      </b:Author>
    </b:Author>
    <b:InternetSiteTitle>Arima</b:InternetSiteTitle>
    <b:URL>https://www.stata.com/features/time-series/ts-arima.pdf</b:URL>
    <b:RefOrder>10</b:RefOrder>
  </b:Source>
  <b:Source>
    <b:Tag>Gon09</b:Tag>
    <b:SourceType>ElectronicSource</b:SourceType>
    <b:Guid>{0D04F1FA-FB0E-43AC-BC8F-0EAAACFC83DC}</b:Guid>
    <b:Title>Análisis de series temporales: Modelos ARIMA</b:Title>
    <b:Year>2009</b:Year>
    <b:Month>Abril</b:Month>
    <b:CountryRegion>País Vasco</b:CountryRegion>
    <b:Author>
      <b:Author>
        <b:NameList>
          <b:Person>
            <b:Last>González C.</b:Last>
            <b:First>María</b:First>
            <b:Middle>Pilar</b:Middle>
          </b:Person>
        </b:NameList>
      </b:Author>
    </b:Author>
    <b:RefOrder>11</b:RefOrder>
  </b:Source>
</b:Sources>
</file>

<file path=customXml/itemProps1.xml><?xml version="1.0" encoding="utf-8"?>
<ds:datastoreItem xmlns:ds="http://schemas.openxmlformats.org/officeDocument/2006/customXml" ds:itemID="{088A6E65-32D6-4D41-A5D4-74A3F5BB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33</Pages>
  <Words>6265</Words>
  <Characters>34458</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Quito</dc:creator>
  <cp:keywords/>
  <dc:description/>
  <cp:lastModifiedBy>Xavier Quito</cp:lastModifiedBy>
  <cp:revision>33</cp:revision>
  <cp:lastPrinted>2020-01-26T17:14:00Z</cp:lastPrinted>
  <dcterms:created xsi:type="dcterms:W3CDTF">2020-05-24T06:12:00Z</dcterms:created>
  <dcterms:modified xsi:type="dcterms:W3CDTF">2021-02-07T01:53:00Z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d03064ca-2ee6-3953-96f3-0dd803592d45</vt:lpwstr>
  </property>
  <property fmtid="{D5CDD505-2E9C-101B-9397-08002B2CF9AE}" pid="24" name="Mendeley Citation Style_1">
    <vt:lpwstr>http://www.zotero.org/styles/apa</vt:lpwstr>
  </property>
</Properties>
</file>