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808080"/>
          <w:sz w:val="20"/>
          <w:szCs w:val="20"/>
        </w:rPr>
        <w:t xml:space="preserve">SISTEMA DE GESTIÓN — HACIENDA</w:t>
      </w:r>
    </w:p>
    <w:p>
      <w:pPr>
        <w:spacing w:after="60"/>
        <w:jc w:val="center"/>
      </w:pPr>
      <w:r>
        <w:rPr>
          <w:rFonts w:ascii="Calibri" w:cs="Calibri" w:eastAsia="Calibri" w:hAnsi="Calibri"/>
          <w:b/>
          <w:bCs/>
          <w:color w:val="1F3864"/>
          <w:sz w:val="36"/>
          <w:szCs w:val="36"/>
        </w:rPr>
        <w:t xml:space="preserve">Vista técnica</w:t>
      </w:r>
    </w:p>
    <w:p>
      <w:pPr>
        <w:spacing w:after="400"/>
        <w:jc w:val="center"/>
      </w:pPr>
      <w:r>
        <w:rPr>
          <w:rFonts w:ascii="Calibri" w:cs="Calibri" w:eastAsia="Calibri" w:hAnsi="Calibri"/>
          <w:i/>
          <w:iCs/>
          <w:color w:val="555555"/>
          <w:sz w:val="22"/>
          <w:szCs w:val="22"/>
        </w:rPr>
        <w:t xml:space="preserve">Para: el equipo de desarrollo que va a hacer el próximo cambio</w:t>
      </w:r>
    </w:p>
    <w:p>
      <w:pPr>
        <w:pStyle w:val="Heading1"/>
        <w:spacing w:after="150" w:before="300"/>
      </w:pPr>
      <w:r>
        <w:rPr>
          <w:rFonts w:ascii="Calibri" w:cs="Calibri" w:eastAsia="Calibri" w:hAnsi="Calibri"/>
          <w:b/>
          <w:bCs/>
          <w:color w:val="1F3864"/>
          <w:sz w:val="28"/>
          <w:szCs w:val="28"/>
        </w:rPr>
        <w:t xml:space="preserve">1. Para quién es este documento</w:t>
      </w:r>
    </w:p>
    <w:p>
      <w:pPr>
        <w:spacing w:after="150" w:line="300"/>
      </w:pPr>
      <w:r>
        <w:rPr>
          <w:rFonts w:ascii="Calibri" w:cs="Calibri" w:eastAsia="Calibri" w:hAnsi="Calibri"/>
          <w:sz w:val="22"/>
          <w:szCs w:val="22"/>
        </w:rPr>
        <w:t xml:space="preserve">Este documento está pensado para el ingeniero que entra al equipo dentro de seis meses, no estuvo en ninguna reunión de diseño, y tiene que hacer un cambio sin romper nada. No repite el análisis de puntos de dolor ni la comparación entre patrones candidatos (eso está en el resto del documento de sustentación); aquí solo se documenta cómo quedó el sistema y dónde tocar para el siguiente cambio.</w:t>
      </w:r>
    </w:p>
    <w:p>
      <w:pPr>
        <w:spacing w:after="150" w:line="300"/>
      </w:pPr>
      <w:r>
        <w:rPr>
          <w:rFonts w:ascii="Calibri" w:cs="Calibri" w:eastAsia="Calibri" w:hAnsi="Calibri"/>
          <w:sz w:val="22"/>
          <w:szCs w:val="22"/>
        </w:rPr>
        <w:t xml:space="preserve">Alcance de esta intervención: Factory Method, Strategy y Decorator sobre el back-end existente. No se cambió el estilo arquitectónico, no se introdujeron frameworks nuevos y no se tocó base de datos, red ni interfaz gráfica.</w:t>
      </w:r>
    </w:p>
    <w:p>
      <w:pPr>
        <w:pStyle w:val="Heading1"/>
        <w:spacing w:after="150" w:before="300"/>
      </w:pPr>
      <w:r>
        <w:rPr>
          <w:rFonts w:ascii="Calibri" w:cs="Calibri" w:eastAsia="Calibri" w:hAnsi="Calibri"/>
          <w:b/>
          <w:bCs/>
          <w:color w:val="1F3864"/>
          <w:sz w:val="28"/>
          <w:szCs w:val="28"/>
        </w:rPr>
        <w:t xml:space="preserve">2. Patrones adoptados: dónde vive cada uno y cómo colaboran</w:t>
      </w:r>
    </w:p>
    <w:p>
      <w:pPr>
        <w:pStyle w:val="Heading2"/>
        <w:spacing w:after="100" w:before="220"/>
      </w:pPr>
      <w:r>
        <w:rPr>
          <w:rFonts w:ascii="Calibri" w:cs="Calibri" w:eastAsia="Calibri" w:hAnsi="Calibri"/>
          <w:b/>
          <w:bCs/>
          <w:color w:val="2F5496"/>
          <w:sz w:val="24"/>
          <w:szCs w:val="24"/>
        </w:rPr>
        <w:t xml:space="preserve">2.1 Factory Method — creación de tipos de Res</w:t>
      </w:r>
    </w:p>
    <w:p>
      <w:pPr>
        <w:spacing w:after="150" w:line="300"/>
      </w:pPr>
      <w:r>
        <w:rPr>
          <w:rFonts w:ascii="Calibri" w:cs="Calibri" w:eastAsia="Calibri" w:hAnsi="Calibri"/>
          <w:sz w:val="22"/>
          <w:szCs w:val="22"/>
        </w:rPr>
        <w:t xml:space="preserve">Punto de dolor que resuelve: el condicional que decidía qué fábrica instanciar según el tipo de res, repetido en los serializadores.</w:t>
      </w:r>
    </w:p>
    <w:p>
      <w:pPr>
        <w:spacing w:after="60"/>
      </w:pPr>
      <w:r>
        <w:rPr>
          <w:rFonts w:ascii="Calibri" w:cs="Calibri" w:eastAsia="Calibri" w:hAnsi="Calibri"/>
          <w:b/>
          <w:bCs/>
          <w:sz w:val="22"/>
          <w:szCs w:val="22"/>
        </w:rPr>
        <w:t xml:space="preserve">Dónde vive: </w:t>
      </w:r>
      <w:r>
        <w:rPr>
          <w:rFonts w:ascii="Consolas" w:cs="Consolas" w:eastAsia="Consolas" w:hAnsi="Consolas"/>
          <w:sz w:val="20"/>
          <w:szCs w:val="20"/>
        </w:rPr>
        <w:t xml:space="preserve">IResFactory</w:t>
      </w:r>
      <w:r>
        <w:rPr>
          <w:rFonts w:ascii="Calibri" w:cs="Calibri" w:eastAsia="Calibri" w:hAnsi="Calibri"/>
          <w:sz w:val="22"/>
          <w:szCs w:val="22"/>
        </w:rPr>
        <w:t xml:space="preserve"> define el contrato de creación; cada tipo de res tiene su propia fábrica concreta. </w:t>
      </w:r>
      <w:r>
        <w:rPr>
          <w:rFonts w:ascii="Consolas" w:cs="Consolas" w:eastAsia="Consolas" w:hAnsi="Consolas"/>
          <w:sz w:val="20"/>
          <w:szCs w:val="20"/>
        </w:rPr>
        <w:t xml:space="preserve">IRegistroResFactories</w:t>
      </w:r>
      <w:r>
        <w:rPr>
          <w:rFonts w:ascii="Calibri" w:cs="Calibri" w:eastAsia="Calibri" w:hAnsi="Calibri"/>
          <w:sz w:val="22"/>
          <w:szCs w:val="22"/>
        </w:rPr>
        <w:t xml:space="preserve"> / </w:t>
      </w:r>
      <w:r>
        <w:rPr>
          <w:rFonts w:ascii="Consolas" w:cs="Consolas" w:eastAsia="Consolas" w:hAnsi="Consolas"/>
          <w:sz w:val="20"/>
          <w:szCs w:val="20"/>
        </w:rPr>
        <w:t xml:space="preserve">RegistroResFactories</w:t>
      </w:r>
      <w:r>
        <w:rPr>
          <w:rFonts w:ascii="Calibri" w:cs="Calibri" w:eastAsia="Calibri" w:hAnsi="Calibri"/>
          <w:sz w:val="22"/>
          <w:szCs w:val="22"/>
        </w:rPr>
        <w:t xml:space="preserve"> resuelven, por tipo persistido, qué fábrica usar.</w:t>
      </w:r>
    </w:p>
    <w:p>
      <w:pPr>
        <w:spacing w:after="150"/>
      </w:pPr>
      <w:r>
        <w:rPr>
          <w:rFonts w:ascii="Calibri" w:cs="Calibri" w:eastAsia="Calibri" w:hAnsi="Calibri"/>
          <w:b/>
          <w:bCs/>
          <w:sz w:val="22"/>
          <w:szCs w:val="22"/>
        </w:rPr>
        <w:t xml:space="preserve">Quién lo consume: </w:t>
      </w:r>
      <w:r>
        <w:rPr>
          <w:rFonts w:ascii="Consolas" w:cs="Consolas" w:eastAsia="Consolas" w:hAnsi="Consolas"/>
          <w:sz w:val="20"/>
          <w:szCs w:val="20"/>
        </w:rPr>
        <w:t xml:space="preserve">SerializadorRes</w:t>
      </w:r>
      <w:r>
        <w:rPr>
          <w:rFonts w:ascii="Calibri" w:cs="Calibri" w:eastAsia="Calibri" w:hAnsi="Calibri"/>
          <w:sz w:val="22"/>
          <w:szCs w:val="22"/>
        </w:rPr>
        <w:t xml:space="preserve">, </w:t>
      </w:r>
      <w:r>
        <w:rPr>
          <w:rFonts w:ascii="Consolas" w:cs="Consolas" w:eastAsia="Consolas" w:hAnsi="Consolas"/>
          <w:sz w:val="20"/>
          <w:szCs w:val="20"/>
        </w:rPr>
        <w:t xml:space="preserve">SerializadorVenta</w:t>
      </w:r>
      <w:r>
        <w:rPr>
          <w:rFonts w:ascii="Calibri" w:cs="Calibri" w:eastAsia="Calibri" w:hAnsi="Calibri"/>
          <w:sz w:val="22"/>
          <w:szCs w:val="22"/>
        </w:rPr>
        <w:t xml:space="preserve"> y </w:t>
      </w:r>
      <w:r>
        <w:rPr>
          <w:rFonts w:ascii="Consolas" w:cs="Consolas" w:eastAsia="Consolas" w:hAnsi="Consolas"/>
          <w:sz w:val="20"/>
          <w:szCs w:val="20"/>
        </w:rPr>
        <w:t xml:space="preserve">ServicioPotreros</w:t>
      </w:r>
      <w:r>
        <w:rPr>
          <w:rFonts w:ascii="Calibri" w:cs="Calibri" w:eastAsia="Calibri" w:hAnsi="Calibri"/>
          <w:sz w:val="22"/>
          <w:szCs w:val="22"/>
        </w:rPr>
        <w:t xml:space="preserve"> delegan la creación en la fábrica correspondiente; ya no contienen el switch por tipo.</w:t>
      </w:r>
    </w:p>
    <w:p>
      <w:pPr>
        <w:pStyle w:val="Heading2"/>
        <w:spacing w:after="100" w:before="220"/>
      </w:pPr>
      <w:r>
        <w:rPr>
          <w:rFonts w:ascii="Calibri" w:cs="Calibri" w:eastAsia="Calibri" w:hAnsi="Calibri"/>
          <w:b/>
          <w:bCs/>
          <w:color w:val="2F5496"/>
          <w:sz w:val="24"/>
          <w:szCs w:val="24"/>
        </w:rPr>
        <w:t xml:space="preserve">2.2 Strategy — políticas de autorización</w:t>
      </w:r>
    </w:p>
    <w:p>
      <w:pPr>
        <w:spacing w:after="150" w:line="300"/>
      </w:pPr>
      <w:r>
        <w:rPr>
          <w:rFonts w:ascii="Calibri" w:cs="Calibri" w:eastAsia="Calibri" w:hAnsi="Calibri"/>
          <w:sz w:val="22"/>
          <w:szCs w:val="22"/>
        </w:rPr>
        <w:t xml:space="preserve">Punto de dolor que resuelve: las reglas de permisos por rol codificadas como comparaciones de texto dentro del servicio de autenticación.</w:t>
      </w:r>
    </w:p>
    <w:p>
      <w:pPr>
        <w:spacing w:after="60"/>
      </w:pPr>
      <w:r>
        <w:rPr>
          <w:rFonts w:ascii="Calibri" w:cs="Calibri" w:eastAsia="Calibri" w:hAnsi="Calibri"/>
          <w:b/>
          <w:bCs/>
          <w:sz w:val="22"/>
          <w:szCs w:val="22"/>
        </w:rPr>
        <w:t xml:space="preserve">Dónde vive: </w:t>
      </w:r>
      <w:r>
        <w:rPr>
          <w:rFonts w:ascii="Consolas" w:cs="Consolas" w:eastAsia="Consolas" w:hAnsi="Consolas"/>
          <w:sz w:val="20"/>
          <w:szCs w:val="20"/>
        </w:rPr>
        <w:t xml:space="preserve">IPoliticaAutorizacion</w:t>
      </w:r>
      <w:r>
        <w:rPr>
          <w:rFonts w:ascii="Calibri" w:cs="Calibri" w:eastAsia="Calibri" w:hAnsi="Calibri"/>
          <w:sz w:val="22"/>
          <w:szCs w:val="22"/>
        </w:rPr>
        <w:t xml:space="preserve"> define el contrato (</w:t>
      </w:r>
      <w:r>
        <w:rPr>
          <w:rFonts w:ascii="Consolas" w:cs="Consolas" w:eastAsia="Consolas" w:hAnsi="Consolas"/>
          <w:sz w:val="20"/>
          <w:szCs w:val="20"/>
        </w:rPr>
        <w:t xml:space="preserve">PuedeEjecutar(operacion): bool</w:t>
      </w:r>
      <w:r>
        <w:rPr>
          <w:rFonts w:ascii="Calibri" w:cs="Calibri" w:eastAsia="Calibri" w:hAnsi="Calibri"/>
          <w:sz w:val="22"/>
          <w:szCs w:val="22"/>
        </w:rPr>
        <w:t xml:space="preserve">); una clase concreta por rol (</w:t>
      </w:r>
      <w:r>
        <w:rPr>
          <w:rFonts w:ascii="Consolas" w:cs="Consolas" w:eastAsia="Consolas" w:hAnsi="Consolas"/>
          <w:sz w:val="20"/>
          <w:szCs w:val="20"/>
        </w:rPr>
        <w:t xml:space="preserve">PoliticaAdministrador</w:t>
      </w:r>
      <w:r>
        <w:rPr>
          <w:rFonts w:ascii="Calibri" w:cs="Calibri" w:eastAsia="Calibri" w:hAnsi="Calibri"/>
          <w:sz w:val="22"/>
          <w:szCs w:val="22"/>
        </w:rPr>
        <w:t xml:space="preserve">, </w:t>
      </w:r>
      <w:r>
        <w:rPr>
          <w:rFonts w:ascii="Consolas" w:cs="Consolas" w:eastAsia="Consolas" w:hAnsi="Consolas"/>
          <w:sz w:val="20"/>
          <w:szCs w:val="20"/>
        </w:rPr>
        <w:t xml:space="preserve">PoliticaEmpleado</w:t>
      </w:r>
      <w:r>
        <w:rPr>
          <w:rFonts w:ascii="Calibri" w:cs="Calibri" w:eastAsia="Calibri" w:hAnsi="Calibri"/>
          <w:sz w:val="22"/>
          <w:szCs w:val="22"/>
        </w:rPr>
        <w:t xml:space="preserve">, </w:t>
      </w:r>
      <w:r>
        <w:rPr>
          <w:rFonts w:ascii="Consolas" w:cs="Consolas" w:eastAsia="Consolas" w:hAnsi="Consolas"/>
          <w:sz w:val="20"/>
          <w:szCs w:val="20"/>
        </w:rPr>
        <w:t xml:space="preserve">PoliticaVisitante</w:t>
      </w:r>
      <w:r>
        <w:rPr>
          <w:rFonts w:ascii="Calibri" w:cs="Calibri" w:eastAsia="Calibri" w:hAnsi="Calibri"/>
          <w:sz w:val="22"/>
          <w:szCs w:val="22"/>
        </w:rPr>
        <w:t xml:space="preserve">) lo implementa. </w:t>
      </w:r>
      <w:r>
        <w:rPr>
          <w:rFonts w:ascii="Consolas" w:cs="Consolas" w:eastAsia="Consolas" w:hAnsi="Consolas"/>
          <w:sz w:val="20"/>
          <w:szCs w:val="20"/>
        </w:rPr>
        <w:t xml:space="preserve">PoliticaSinPermisos</w:t>
      </w:r>
      <w:r>
        <w:rPr>
          <w:rFonts w:ascii="Calibri" w:cs="Calibri" w:eastAsia="Calibri" w:hAnsi="Calibri"/>
          <w:sz w:val="22"/>
          <w:szCs w:val="22"/>
        </w:rPr>
        <w:t xml:space="preserve"> actúa como Null Object para un rol no registrado, sustituyendo el “return false” final del if/else original.</w:t>
      </w:r>
    </w:p>
    <w:p>
      <w:pPr>
        <w:spacing w:after="150"/>
      </w:pPr>
      <w:r>
        <w:rPr>
          <w:rFonts w:ascii="Calibri" w:cs="Calibri" w:eastAsia="Calibri" w:hAnsi="Calibri"/>
          <w:b/>
          <w:bCs/>
          <w:sz w:val="22"/>
          <w:szCs w:val="22"/>
        </w:rPr>
        <w:t xml:space="preserve">Quién lo consume: </w:t>
      </w:r>
      <w:r>
        <w:rPr>
          <w:rFonts w:ascii="Consolas" w:cs="Consolas" w:eastAsia="Consolas" w:hAnsi="Consolas"/>
          <w:sz w:val="20"/>
          <w:szCs w:val="20"/>
        </w:rPr>
        <w:t xml:space="preserve">ServicioAutenticacion</w:t>
      </w:r>
      <w:r>
        <w:rPr>
          <w:rFonts w:ascii="Calibri" w:cs="Calibri" w:eastAsia="Calibri" w:hAnsi="Calibri"/>
          <w:sz w:val="22"/>
          <w:szCs w:val="22"/>
        </w:rPr>
        <w:t xml:space="preserve"> ya no conoce las reglas concretas; resuelve la política por rol a través de </w:t>
      </w:r>
      <w:r>
        <w:rPr>
          <w:rFonts w:ascii="Consolas" w:cs="Consolas" w:eastAsia="Consolas" w:hAnsi="Consolas"/>
          <w:sz w:val="20"/>
          <w:szCs w:val="20"/>
        </w:rPr>
        <w:t xml:space="preserve">IRegistroPoliticasAutorizacion</w:t>
      </w:r>
      <w:r>
        <w:rPr>
          <w:rFonts w:ascii="Calibri" w:cs="Calibri" w:eastAsia="Calibri" w:hAnsi="Calibri"/>
          <w:sz w:val="22"/>
          <w:szCs w:val="22"/>
        </w:rPr>
        <w:t xml:space="preserve"> / </w:t>
      </w:r>
      <w:r>
        <w:rPr>
          <w:rFonts w:ascii="Consolas" w:cs="Consolas" w:eastAsia="Consolas" w:hAnsi="Consolas"/>
          <w:sz w:val="20"/>
          <w:szCs w:val="20"/>
        </w:rPr>
        <w:t xml:space="preserve">RegistroPoliticasAutorizacion</w:t>
      </w:r>
      <w:r>
        <w:rPr>
          <w:rFonts w:ascii="Calibri" w:cs="Calibri" w:eastAsia="Calibri" w:hAnsi="Calibri"/>
          <w:sz w:val="22"/>
          <w:szCs w:val="22"/>
        </w:rPr>
        <w:t xml:space="preserve"> en cada llamada.</w:t>
      </w:r>
    </w:p>
    <w:p>
      <w:pPr>
        <w:pStyle w:val="Heading2"/>
        <w:spacing w:after="100" w:before="220"/>
      </w:pPr>
      <w:r>
        <w:rPr>
          <w:rFonts w:ascii="Calibri" w:cs="Calibri" w:eastAsia="Calibri" w:hAnsi="Calibri"/>
          <w:b/>
          <w:bCs/>
          <w:color w:val="2F5496"/>
          <w:sz w:val="24"/>
          <w:szCs w:val="24"/>
        </w:rPr>
        <w:t xml:space="preserve">2.3 Decorator — trazabilidad de historia clínica (SC-3) y geolocalización (SC-2)</w:t>
      </w:r>
    </w:p>
    <w:p>
      <w:pPr>
        <w:spacing w:after="150" w:line="300"/>
      </w:pPr>
      <w:r>
        <w:rPr>
          <w:rFonts w:ascii="Calibri" w:cs="Calibri" w:eastAsia="Calibri" w:hAnsi="Calibri"/>
          <w:sz w:val="22"/>
          <w:szCs w:val="22"/>
        </w:rPr>
        <w:t xml:space="preserve">Punto de dolor que resuelve: el flujo central de registro que crecía con cada requisito nuevo (historia clínica, chip GPS) metido como pasos adicionales en la misma clase.</w:t>
      </w:r>
    </w:p>
    <w:p>
      <w:pPr>
        <w:spacing w:after="60"/>
      </w:pPr>
      <w:r>
        <w:rPr>
          <w:rFonts w:ascii="Calibri" w:cs="Calibri" w:eastAsia="Calibri" w:hAnsi="Calibri"/>
          <w:b/>
          <w:bCs/>
          <w:sz w:val="22"/>
          <w:szCs w:val="22"/>
        </w:rPr>
        <w:t xml:space="preserve">Dónde vive: </w:t>
      </w:r>
      <w:r>
        <w:rPr>
          <w:rFonts w:ascii="Consolas" w:cs="Consolas" w:eastAsia="Consolas" w:hAnsi="Consolas"/>
          <w:sz w:val="20"/>
          <w:szCs w:val="20"/>
        </w:rPr>
        <w:t xml:space="preserve">RepositorioHistoriaClinicaConAuditoria</w:t>
      </w:r>
      <w:r>
        <w:rPr>
          <w:rFonts w:ascii="Calibri" w:cs="Calibri" w:eastAsia="Calibri" w:hAnsi="Calibri"/>
          <w:sz w:val="22"/>
          <w:szCs w:val="22"/>
        </w:rPr>
        <w:t xml:space="preserve"> envuelve a </w:t>
      </w:r>
      <w:r>
        <w:rPr>
          <w:rFonts w:ascii="Consolas" w:cs="Consolas" w:eastAsia="Consolas" w:hAnsi="Consolas"/>
          <w:sz w:val="20"/>
          <w:szCs w:val="20"/>
        </w:rPr>
        <w:t xml:space="preserve">RepositorioHistoriaClinicaTexto</w:t>
      </w:r>
      <w:r>
        <w:rPr>
          <w:rFonts w:ascii="Calibri" w:cs="Calibri" w:eastAsia="Calibri" w:hAnsi="Calibri"/>
          <w:sz w:val="22"/>
          <w:szCs w:val="22"/>
        </w:rPr>
        <w:t xml:space="preserve"> a través del contrato </w:t>
      </w:r>
      <w:r>
        <w:rPr>
          <w:rFonts w:ascii="Consolas" w:cs="Consolas" w:eastAsia="Consolas" w:hAnsi="Consolas"/>
          <w:sz w:val="20"/>
          <w:szCs w:val="20"/>
        </w:rPr>
        <w:t xml:space="preserve">IRepositorioHistoriaClinica</w:t>
      </w:r>
      <w:r>
        <w:rPr>
          <w:rFonts w:ascii="Calibri" w:cs="Calibri" w:eastAsia="Calibri" w:hAnsi="Calibri"/>
          <w:sz w:val="22"/>
          <w:szCs w:val="22"/>
        </w:rPr>
        <w:t xml:space="preserve">, agregando el registro de auditoría (usuario y fecha, vía </w:t>
      </w:r>
      <w:r>
        <w:rPr>
          <w:rFonts w:ascii="Consolas" w:cs="Consolas" w:eastAsia="Consolas" w:hAnsi="Consolas"/>
          <w:sz w:val="20"/>
          <w:szCs w:val="20"/>
        </w:rPr>
        <w:t xml:space="preserve">IContextoEjecucion</w:t>
      </w:r>
      <w:r>
        <w:rPr>
          <w:rFonts w:ascii="Calibri" w:cs="Calibri" w:eastAsia="Calibri" w:hAnsi="Calibri"/>
          <w:sz w:val="22"/>
          <w:szCs w:val="22"/>
        </w:rPr>
        <w:t xml:space="preserve">) sin tocar la implementación base.</w:t>
      </w:r>
    </w:p>
    <w:p>
      <w:pPr>
        <w:spacing w:after="150"/>
      </w:pPr>
      <w:r>
        <w:rPr>
          <w:rFonts w:ascii="Calibri" w:cs="Calibri" w:eastAsia="Calibri" w:hAnsi="Calibri"/>
          <w:b/>
          <w:bCs/>
          <w:sz w:val="22"/>
          <w:szCs w:val="22"/>
        </w:rPr>
        <w:t xml:space="preserve">Quién lo consume: </w:t>
      </w:r>
      <w:r>
        <w:rPr>
          <w:rFonts w:ascii="Consolas" w:cs="Consolas" w:eastAsia="Consolas" w:hAnsi="Consolas"/>
          <w:sz w:val="20"/>
          <w:szCs w:val="20"/>
        </w:rPr>
        <w:t xml:space="preserve">ServicioHistoriaClinica</w:t>
      </w:r>
      <w:r>
        <w:rPr>
          <w:rFonts w:ascii="Calibri" w:cs="Calibri" w:eastAsia="Calibri" w:hAnsi="Calibri"/>
          <w:sz w:val="22"/>
          <w:szCs w:val="22"/>
        </w:rPr>
        <w:t xml:space="preserve"> (que implementa </w:t>
      </w:r>
      <w:r>
        <w:rPr>
          <w:rFonts w:ascii="Consolas" w:cs="Consolas" w:eastAsia="Consolas" w:hAnsi="Consolas"/>
          <w:sz w:val="20"/>
          <w:szCs w:val="20"/>
        </w:rPr>
        <w:t xml:space="preserve">IHistoriaClinica</w:t>
      </w:r>
      <w:r>
        <w:rPr>
          <w:rFonts w:ascii="Calibri" w:cs="Calibri" w:eastAsia="Calibri" w:hAnsi="Calibri"/>
          <w:sz w:val="22"/>
          <w:szCs w:val="22"/>
        </w:rPr>
        <w:t xml:space="preserve"> y es usado por </w:t>
      </w:r>
      <w:r>
        <w:rPr>
          <w:rFonts w:ascii="Consolas" w:cs="Consolas" w:eastAsia="Consolas" w:hAnsi="Consolas"/>
          <w:sz w:val="20"/>
          <w:szCs w:val="20"/>
        </w:rPr>
        <w:t xml:space="preserve">ResController</w:t>
      </w:r>
      <w:r>
        <w:rPr>
          <w:rFonts w:ascii="Calibri" w:cs="Calibri" w:eastAsia="Calibri" w:hAnsi="Calibri"/>
          <w:sz w:val="22"/>
          <w:szCs w:val="22"/>
        </w:rPr>
        <w:t xml:space="preserve">) solo conoce la interfaz; nunca sabe si recibe la versión decorada o la cruda. Esa decisión vive únicamente en el punto de ensamblaje.</w:t>
      </w:r>
    </w:p>
    <w:p>
      <w:pPr>
        <w:spacing w:after="150"/>
      </w:pPr>
      <w:r>
        <w:rPr>
          <w:rFonts w:ascii="Calibri" w:cs="Calibri" w:eastAsia="Calibri" w:hAnsi="Calibri"/>
          <w:b/>
          <w:bCs/>
          <w:sz w:val="22"/>
          <w:szCs w:val="22"/>
        </w:rPr>
        <w:t xml:space="preserve">Nota de alcance: </w:t>
      </w:r>
      <w:r>
        <w:rPr>
          <w:rFonts w:ascii="Calibri" w:cs="Calibri" w:eastAsia="Calibri" w:hAnsi="Calibri"/>
          <w:sz w:val="22"/>
          <w:szCs w:val="22"/>
        </w:rPr>
        <w:t xml:space="preserve">la solicitud de cambio que cuenta como “implementada, distinta de la ya hecha” (Anexo B) es SC-2 (geolocalización): la historia clínica (SC-3) ya existía desde el Reto 1; lo único nuevo sobre ella en este trimestre es la auditoría descrita arriba. El mismo Decorator se aplicó también sobre geolocalización, construida por completo en este Reto 2.</w:t>
      </w:r>
    </w:p>
    <w:p>
      <w:pPr>
        <w:spacing w:after="60"/>
      </w:pPr>
      <w:r>
        <w:rPr>
          <w:rFonts w:ascii="Calibri" w:cs="Calibri" w:eastAsia="Calibri" w:hAnsi="Calibri"/>
          <w:b/>
          <w:bCs/>
          <w:sz w:val="22"/>
          <w:szCs w:val="22"/>
        </w:rPr>
        <w:t xml:space="preserve">Dónde vive (SC-2): </w:t>
      </w:r>
      <w:r>
        <w:rPr>
          <w:rFonts w:ascii="Consolas" w:cs="Consolas" w:eastAsia="Consolas" w:hAnsi="Consolas"/>
          <w:sz w:val="20"/>
          <w:szCs w:val="20"/>
        </w:rPr>
        <w:t xml:space="preserve">RepositorioGeolocalizacionConAuditoria</w:t>
      </w:r>
      <w:r>
        <w:rPr>
          <w:rFonts w:ascii="Calibri" w:cs="Calibri" w:eastAsia="Calibri" w:hAnsi="Calibri"/>
          <w:sz w:val="22"/>
          <w:szCs w:val="22"/>
        </w:rPr>
        <w:t xml:space="preserve"> envuelve a </w:t>
      </w:r>
      <w:r>
        <w:rPr>
          <w:rFonts w:ascii="Consolas" w:cs="Consolas" w:eastAsia="Consolas" w:hAnsi="Consolas"/>
          <w:sz w:val="20"/>
          <w:szCs w:val="20"/>
        </w:rPr>
        <w:t xml:space="preserve">RepositorioGeolocalizacionTexto</w:t>
      </w:r>
      <w:r>
        <w:rPr>
          <w:rFonts w:ascii="Calibri" w:cs="Calibri" w:eastAsia="Calibri" w:hAnsi="Calibri"/>
          <w:sz w:val="22"/>
          <w:szCs w:val="22"/>
        </w:rPr>
        <w:t xml:space="preserve"> a través del contrato </w:t>
      </w:r>
      <w:r>
        <w:rPr>
          <w:rFonts w:ascii="Consolas" w:cs="Consolas" w:eastAsia="Consolas" w:hAnsi="Consolas"/>
          <w:sz w:val="20"/>
          <w:szCs w:val="20"/>
        </w:rPr>
        <w:t xml:space="preserve">IRepositorioGeolocalizacion</w:t>
      </w:r>
      <w:r>
        <w:rPr>
          <w:rFonts w:ascii="Calibri" w:cs="Calibri" w:eastAsia="Calibri" w:hAnsi="Calibri"/>
          <w:sz w:val="22"/>
          <w:szCs w:val="22"/>
        </w:rPr>
        <w:t xml:space="preserve">, agregando el mismo registro de auditoría (usuario y fecha, vía </w:t>
      </w:r>
      <w:r>
        <w:rPr>
          <w:rFonts w:ascii="Consolas" w:cs="Consolas" w:eastAsia="Consolas" w:hAnsi="Consolas"/>
          <w:sz w:val="20"/>
          <w:szCs w:val="20"/>
        </w:rPr>
        <w:t xml:space="preserve">IContextoEjecucion</w:t>
      </w:r>
      <w:r>
        <w:rPr>
          <w:rFonts w:ascii="Calibri" w:cs="Calibri" w:eastAsia="Calibri" w:hAnsi="Calibri"/>
          <w:sz w:val="22"/>
          <w:szCs w:val="22"/>
        </w:rPr>
        <w:t xml:space="preserve">) sin tocar la implementación base. La entidad nueva es </w:t>
      </w:r>
      <w:r>
        <w:rPr>
          <w:rFonts w:ascii="Consolas" w:cs="Consolas" w:eastAsia="Consolas" w:hAnsi="Consolas"/>
          <w:sz w:val="20"/>
          <w:szCs w:val="20"/>
        </w:rPr>
        <w:t xml:space="preserve">RegistroGeolocalizacion</w:t>
      </w:r>
      <w:r>
        <w:rPr>
          <w:rFonts w:ascii="Calibri" w:cs="Calibri" w:eastAsia="Calibri" w:hAnsi="Calibri"/>
          <w:sz w:val="22"/>
          <w:szCs w:val="22"/>
        </w:rPr>
        <w:t xml:space="preserve">, validada por </w:t>
      </w:r>
      <w:r>
        <w:rPr>
          <w:rFonts w:ascii="Consolas" w:cs="Consolas" w:eastAsia="Consolas" w:hAnsi="Consolas"/>
          <w:sz w:val="20"/>
          <w:szCs w:val="20"/>
        </w:rPr>
        <w:t xml:space="preserve">IValidadorRegistroGeolocalizacion</w:t>
      </w:r>
      <w:r>
        <w:rPr>
          <w:rFonts w:ascii="Calibri" w:cs="Calibri" w:eastAsia="Calibri" w:hAnsi="Calibri"/>
          <w:sz w:val="22"/>
          <w:szCs w:val="22"/>
        </w:rPr>
        <w:t xml:space="preserve">.</w:t>
      </w:r>
    </w:p>
    <w:p>
      <w:pPr>
        <w:spacing w:after="150"/>
      </w:pPr>
      <w:r>
        <w:rPr>
          <w:rFonts w:ascii="Calibri" w:cs="Calibri" w:eastAsia="Calibri" w:hAnsi="Calibri"/>
          <w:b/>
          <w:bCs/>
          <w:sz w:val="22"/>
          <w:szCs w:val="22"/>
        </w:rPr>
        <w:t xml:space="preserve">Quién lo consume (SC-2): </w:t>
      </w:r>
      <w:r>
        <w:rPr>
          <w:rFonts w:ascii="Consolas" w:cs="Consolas" w:eastAsia="Consolas" w:hAnsi="Consolas"/>
          <w:sz w:val="20"/>
          <w:szCs w:val="20"/>
        </w:rPr>
        <w:t xml:space="preserve">ServicioGeolocalizacion</w:t>
      </w:r>
      <w:r>
        <w:rPr>
          <w:rFonts w:ascii="Calibri" w:cs="Calibri" w:eastAsia="Calibri" w:hAnsi="Calibri"/>
          <w:sz w:val="22"/>
          <w:szCs w:val="22"/>
        </w:rPr>
        <w:t xml:space="preserve"> (que implementa </w:t>
      </w:r>
      <w:r>
        <w:rPr>
          <w:rFonts w:ascii="Consolas" w:cs="Consolas" w:eastAsia="Consolas" w:hAnsi="Consolas"/>
          <w:sz w:val="20"/>
          <w:szCs w:val="20"/>
        </w:rPr>
        <w:t xml:space="preserve">IGeolocalizacion</w:t>
      </w:r>
      <w:r>
        <w:rPr>
          <w:rFonts w:ascii="Calibri" w:cs="Calibri" w:eastAsia="Calibri" w:hAnsi="Calibri"/>
          <w:sz w:val="22"/>
          <w:szCs w:val="22"/>
        </w:rPr>
        <w:t xml:space="preserve"> y también es usado por </w:t>
      </w:r>
      <w:r>
        <w:rPr>
          <w:rFonts w:ascii="Consolas" w:cs="Consolas" w:eastAsia="Consolas" w:hAnsi="Consolas"/>
          <w:sz w:val="20"/>
          <w:szCs w:val="20"/>
        </w:rPr>
        <w:t xml:space="preserve">ResController</w:t>
      </w:r>
      <w:r>
        <w:rPr>
          <w:rFonts w:ascii="Calibri" w:cs="Calibri" w:eastAsia="Calibri" w:hAnsi="Calibri"/>
          <w:sz w:val="22"/>
          <w:szCs w:val="22"/>
        </w:rPr>
        <w:t xml:space="preserve">) solo conoce la interfaz; igual que con historia clínica, nunca sabe si recibe la versión decorada o la cruda.</w:t>
      </w:r>
    </w:p>
    <w:p>
      <w:pPr>
        <w:pStyle w:val="Heading2"/>
        <w:spacing w:after="100" w:before="220"/>
      </w:pPr>
      <w:r>
        <w:rPr>
          <w:rFonts w:ascii="Calibri" w:cs="Calibri" w:eastAsia="Calibri" w:hAnsi="Calibri"/>
          <w:b/>
          <w:bCs/>
          <w:color w:val="2F5496"/>
          <w:sz w:val="24"/>
          <w:szCs w:val="24"/>
        </w:rPr>
        <w:t xml:space="preserve">2.4 Cómo colaboran entre sí</w:t>
      </w:r>
    </w:p>
    <w:p>
      <w:pPr>
        <w:spacing w:after="150" w:line="300"/>
      </w:pPr>
      <w:r>
        <w:rPr>
          <w:rFonts w:ascii="Calibri" w:cs="Calibri" w:eastAsia="Calibri" w:hAnsi="Calibri"/>
          <w:sz w:val="22"/>
          <w:szCs w:val="22"/>
        </w:rPr>
        <w:t xml:space="preserve">Los tres patrones son independientes entre sí — no hay un patrón que dependa de otro para funcionar — pero comparten el mismo estilo: cada uno saca una decisión de “qué implementación concreta usar” fuera de la clase que la consume, y la deja resuelta en un único lugar. Ese lugar único, para los tres, es el punto de ensamblaje del sistema.</w:t>
      </w:r>
    </w:p>
    <w:p>
      <w:pPr>
        <w:pStyle w:val="Heading1"/>
        <w:spacing w:after="150" w:before="300"/>
      </w:pPr>
      <w:r>
        <w:rPr>
          <w:rFonts w:ascii="Calibri" w:cs="Calibri" w:eastAsia="Calibri" w:hAnsi="Calibri"/>
          <w:b/>
          <w:bCs/>
          <w:color w:val="1F3864"/>
          <w:sz w:val="28"/>
          <w:szCs w:val="28"/>
        </w:rPr>
        <w:t xml:space="preserve">3. Dónde se ensambla el sistema</w:t>
      </w:r>
    </w:p>
    <w:p>
      <w:pPr>
        <w:spacing w:after="150" w:line="300"/>
      </w:pPr>
      <w:r>
        <w:rPr>
          <w:rFonts w:ascii="Calibri" w:cs="Calibri" w:eastAsia="Calibri" w:hAnsi="Calibri"/>
          <w:sz w:val="22"/>
          <w:szCs w:val="22"/>
        </w:rPr>
        <w:t xml:space="preserve">Todo el cableado nuevo vive en </w:t>
      </w:r>
      <w:r>
        <w:rPr>
          <w:rFonts w:ascii="Consolas" w:cs="Consolas" w:eastAsia="Consolas" w:hAnsi="Consolas"/>
          <w:sz w:val="20"/>
          <w:szCs w:val="20"/>
        </w:rPr>
        <w:t xml:space="preserve">Program.cs</w:t>
      </w:r>
      <w:r>
        <w:rPr>
          <w:rFonts w:ascii="Calibri" w:cs="Calibri" w:eastAsia="Calibri" w:hAnsi="Calibri"/>
          <w:sz w:val="22"/>
          <w:szCs w:val="22"/>
        </w:rPr>
        <w:t xml:space="preserve"> (composition root). Es el único archivo que conoce, a la vez: qué fábricas concretas existen y con qué tipo de res se asocian, qué políticas de autorización existen y con qué rol se asocian, y si los repositorios de historia clínica y de geolocalización que reciben los servicios son la versión decorada con auditoría o la versión cruda (hoy, ambos se resuelven decorados). Ningún controlador ni ningún servicio conoce estas decisiones — todos dependen solo de las interfaces (</w:t>
      </w:r>
      <w:r>
        <w:rPr>
          <w:rFonts w:ascii="Consolas" w:cs="Consolas" w:eastAsia="Consolas" w:hAnsi="Consolas"/>
          <w:sz w:val="20"/>
          <w:szCs w:val="20"/>
        </w:rPr>
        <w:t xml:space="preserve">IResFactory</w:t>
      </w:r>
      <w:r>
        <w:rPr>
          <w:rFonts w:ascii="Calibri" w:cs="Calibri" w:eastAsia="Calibri" w:hAnsi="Calibri"/>
          <w:sz w:val="22"/>
          <w:szCs w:val="22"/>
        </w:rPr>
        <w:t xml:space="preserve">, </w:t>
      </w:r>
      <w:r>
        <w:rPr>
          <w:rFonts w:ascii="Consolas" w:cs="Consolas" w:eastAsia="Consolas" w:hAnsi="Consolas"/>
          <w:sz w:val="20"/>
          <w:szCs w:val="20"/>
        </w:rPr>
        <w:t xml:space="preserve">IPoliticaAutorizacion</w:t>
      </w:r>
      <w:r>
        <w:rPr>
          <w:rFonts w:ascii="Calibri" w:cs="Calibri" w:eastAsia="Calibri" w:hAnsi="Calibri"/>
          <w:sz w:val="22"/>
          <w:szCs w:val="22"/>
        </w:rPr>
        <w:t xml:space="preserve">, </w:t>
      </w:r>
      <w:r>
        <w:rPr>
          <w:rFonts w:ascii="Consolas" w:cs="Consolas" w:eastAsia="Consolas" w:hAnsi="Consolas"/>
          <w:sz w:val="20"/>
          <w:szCs w:val="20"/>
        </w:rPr>
        <w:t xml:space="preserve">IRepositorioHistoriaClinica</w:t>
      </w:r>
      <w:r>
        <w:rPr>
          <w:rFonts w:ascii="Calibri" w:cs="Calibri" w:eastAsia="Calibri" w:hAnsi="Calibri"/>
          <w:sz w:val="22"/>
          <w:szCs w:val="22"/>
        </w:rPr>
        <w:t xml:space="preserve">, </w:t>
      </w:r>
      <w:r>
        <w:rPr>
          <w:rFonts w:ascii="Consolas" w:cs="Consolas" w:eastAsia="Consolas" w:hAnsi="Consolas"/>
          <w:sz w:val="20"/>
          <w:szCs w:val="20"/>
        </w:rPr>
        <w:t xml:space="preserve">IRepositorioGeolocalizacion</w:t>
      </w:r>
      <w:r>
        <w:rPr>
          <w:rFonts w:ascii="Calibri" w:cs="Calibri" w:eastAsia="Calibri" w:hAnsi="Calibri"/>
          <w:sz w:val="22"/>
          <w:szCs w:val="22"/>
        </w:rPr>
        <w:t xml:space="preserve">).</w:t>
      </w:r>
    </w:p>
    <w:p>
      <w:pPr>
        <w:spacing w:after="150" w:line="300"/>
      </w:pPr>
      <w:r>
        <w:rPr>
          <w:rFonts w:ascii="Calibri" w:cs="Calibri" w:eastAsia="Calibri" w:hAnsi="Calibri"/>
          <w:sz w:val="22"/>
          <w:szCs w:val="22"/>
        </w:rPr>
        <w:t xml:space="preserve">Regla práctica: si una clase nueva necesita ser “conocida” por el sistema (una fábrica, una política, un decorador), el único lugar donde hay que registrarla es aquí. Si te encuentras editando un servicio o un controlador para que reconozca un tipo nuevo, es señal de que el registro se está haciendo en el lugar equivocado.</w:t>
      </w:r>
    </w:p>
    <w:p>
      <w:pPr>
        <w:pStyle w:val="Heading1"/>
        <w:spacing w:after="150" w:before="300"/>
      </w:pPr>
      <w:r>
        <w:rPr>
          <w:rFonts w:ascii="Calibri" w:cs="Calibri" w:eastAsia="Calibri" w:hAnsi="Calibri"/>
          <w:b/>
          <w:bCs/>
          <w:color w:val="1F3864"/>
          <w:sz w:val="28"/>
          <w:szCs w:val="28"/>
        </w:rPr>
        <w:t xml:space="preserve">4. Reglas que no se deben romper, y por qué</w:t>
      </w:r>
    </w:p>
    <w:p>
      <w:pPr>
        <w:pStyle w:val="ListParagraph"/>
        <w:numPr>
          <w:ilvl w:val="0"/>
          <w:numId w:val="2"/>
        </w:numPr>
        <w:spacing w:after="100" w:line="300"/>
      </w:pPr>
      <w:r>
        <w:rPr>
          <w:rFonts w:ascii="Calibri" w:cs="Calibri" w:eastAsia="Calibri" w:hAnsi="Calibri"/>
          <w:sz w:val="22"/>
          <w:szCs w:val="22"/>
        </w:rPr>
        <w:t xml:space="preserve">Un decorador de historia clínica nunca puede cambiar lo que el llamador recibe de vuelta. El comportamiento observable de ServicioHistoriaClinica.RegistrarEvento debe ser idéntico con o sin el decorador de auditoría puesto; si algún día un decorador nuevo cambia el mensaje de retorno o el tipo de dato, deja de ser sustituible y rompe LSP.</w:t>
      </w:r>
    </w:p>
    <w:p>
      <w:pPr>
        <w:pStyle w:val="ListParagraph"/>
        <w:numPr>
          <w:ilvl w:val="0"/>
          <w:numId w:val="2"/>
        </w:numPr>
        <w:spacing w:after="100" w:line="300"/>
      </w:pPr>
      <w:r>
        <w:rPr>
          <w:rFonts w:ascii="Calibri" w:cs="Calibri" w:eastAsia="Calibri" w:hAnsi="Calibri"/>
          <w:sz w:val="22"/>
          <w:szCs w:val="22"/>
        </w:rPr>
        <w:t xml:space="preserve">Una política de autorización concreta nunca debe lanzar una excepción donde el contrato espera un booleano. Las cuatro políticas actuales (incluida la de rol no registrado) devuelven true o false siempre; una política nueva que rompa esa simetría vuelve a acoplar ServicioAutenticacion a casos especiales, deshaciendo el punto que motivó Strategy.</w:t>
      </w:r>
    </w:p>
    <w:p>
      <w:pPr>
        <w:pStyle w:val="ListParagraph"/>
        <w:numPr>
          <w:ilvl w:val="0"/>
          <w:numId w:val="2"/>
        </w:numPr>
        <w:spacing w:after="100" w:line="300"/>
      </w:pPr>
      <w:r>
        <w:rPr>
          <w:rFonts w:ascii="Calibri" w:cs="Calibri" w:eastAsia="Calibri" w:hAnsi="Calibri"/>
          <w:sz w:val="22"/>
          <w:szCs w:val="22"/>
        </w:rPr>
        <w:t xml:space="preserve">Ninguna fábrica concreta debe conocer a las demás fábricas ni al registro que las resuelve. Si una fábrica nueva necesita saber qué otros tipos existen, es señal de que la lógica de selección se está filtrando fuera del punto de ensamblaje.</w:t>
      </w:r>
    </w:p>
    <w:p>
      <w:pPr>
        <w:pStyle w:val="ListParagraph"/>
        <w:numPr>
          <w:ilvl w:val="0"/>
          <w:numId w:val="2"/>
        </w:numPr>
        <w:spacing w:after="100" w:line="300"/>
      </w:pPr>
      <w:r>
        <w:rPr>
          <w:rFonts w:ascii="Calibri" w:cs="Calibri" w:eastAsia="Calibri" w:hAnsi="Calibri"/>
          <w:sz w:val="22"/>
          <w:szCs w:val="22"/>
        </w:rPr>
        <w:t xml:space="preserve">SerializadorRes, SerializadorVenta y ServicioAutenticacion no deben volver a incorporar un condicional por tipo o por rol. Reintroducir uno de esos condicionales deshace exactamente el punto de dolor que este trimestre resolvió (P-01/P-02 y P-03).</w:t>
      </w:r>
    </w:p>
    <w:p>
      <w:pPr>
        <w:pStyle w:val="ListParagraph"/>
        <w:numPr>
          <w:ilvl w:val="0"/>
          <w:numId w:val="2"/>
        </w:numPr>
        <w:spacing w:after="100" w:line="300"/>
      </w:pPr>
      <w:r>
        <w:rPr>
          <w:rFonts w:ascii="Calibri" w:cs="Calibri" w:eastAsia="Calibri" w:hAnsi="Calibri"/>
          <w:sz w:val="22"/>
          <w:szCs w:val="22"/>
        </w:rPr>
        <w:t xml:space="preserve">Ningún patrón nuevo se agrega “porque es buena práctica” o porque queda elegante: como recuerda el encargo, un patrón sin un punto de dolor real detrás es sobre-ingeniería y se penaliza igual que la rigidez que pretendía resolver.</w:t>
      </w:r>
    </w:p>
    <w:p>
      <w:pPr>
        <w:pStyle w:val="Heading1"/>
        <w:spacing w:after="150" w:before="300"/>
      </w:pPr>
      <w:r>
        <w:rPr>
          <w:rFonts w:ascii="Calibri" w:cs="Calibri" w:eastAsia="Calibri" w:hAnsi="Calibri"/>
          <w:b/>
          <w:bCs/>
          <w:color w:val="1F3864"/>
          <w:sz w:val="28"/>
          <w:szCs w:val="28"/>
        </w:rPr>
        <w:t xml:space="preserve">5. Guía de dónde tocar</w:t>
      </w:r>
    </w:p>
    <w:p>
      <w:pPr>
        <w:spacing w:after="150" w:line="300"/>
      </w:pPr>
      <w:r>
        <w:rPr>
          <w:rFonts w:ascii="Calibri" w:cs="Calibri" w:eastAsia="Calibri" w:hAnsi="Calibri"/>
          <w:sz w:val="22"/>
          <w:szCs w:val="22"/>
        </w:rPr>
        <w:t xml:space="preserve">Para cada tipo de cambio previsible, esta tabla dice qué hay que crear, qué hay que modificar y qué no se debe tocar bajo ninguna circunstancia. Cubre las tres solicitudes de cambio del Anexo B para Hacienda (SC-1, SC-2 y SC-3) más los cambios más frecuentes que puede pedir el negocio.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3100"/>
        <w:gridCol w:w="260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Tipo de cambio</w:t>
            </w:r>
          </w:p>
        </w:tc>
        <w:tc>
          <w:tcPr>
            <w:tcW w:type="dxa" w:w="31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hay que crear</w:t>
            </w:r>
          </w:p>
        </w:tc>
        <w:tc>
          <w:tcPr>
            <w:tcW w:type="dxa" w:w="31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hay que modificar</w:t>
            </w:r>
          </w:p>
        </w:tc>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NO se debe tocar</w:t>
            </w:r>
          </w:p>
        </w:tc>
      </w:tr>
      <w:tr>
        <w:trPr>
          <w:cantSplit/>
        </w:trPr>
        <w:tc>
          <w:tcPr>
            <w:tcW w:type="dxa" w:w="16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Agregar un tipo nuevo de Res (p. ej. una raza especial)</w:t>
            </w:r>
          </w:p>
        </w:tc>
        <w:tc>
          <w:tcPr>
            <w:tcW w:type="dxa" w:w="31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Una nueva clase que implemente IResFactory para ese tipo.</w:t>
            </w:r>
          </w:p>
        </w:tc>
        <w:tc>
          <w:tcPr>
            <w:tcW w:type="dxa" w:w="31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El registro de fábricas en Program.cs, para dar de alta la fábrica nueva.</w:t>
            </w:r>
          </w:p>
        </w:tc>
        <w:tc>
          <w:tcPr>
            <w:tcW w:type="dxa" w:w="26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SerializadorRes.cs y SerializadorVenta.cs: ya delegan en la fábrica, no deben volver a llevar un condicional por tipo.</w:t>
            </w:r>
          </w:p>
        </w:tc>
      </w:tr>
      <w:tr>
        <w:trPr>
          <w:cantSplit/>
        </w:trPr>
        <w:tc>
          <w:tcPr>
            <w:tcW w:type="dxa" w:w="16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SC-1: vender productos derivados del ganado (lácteos, carne, piel)</w:t>
            </w:r>
          </w:p>
        </w:tc>
        <w:tc>
          <w:tcPr>
            <w:tcW w:type="dxa" w:w="31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Una jerarquía de producto derivado (p. ej. ProductoDerivado + fábricas concretas por tipo de derivado, siguiendo el mismo estilo que IResFactory) y el servicio de venta correspondiente.</w:t>
            </w:r>
          </w:p>
        </w:tc>
        <w:tc>
          <w:tcPr>
            <w:tcW w:type="dxa" w:w="31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Program.cs, para registrar las nuevas fábricas de producto y componer el nuevo servicio de venta.</w:t>
            </w:r>
          </w:p>
        </w:tc>
        <w:tc>
          <w:tcPr>
            <w:tcW w:type="dxa" w:w="26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La lógica de creación de Res existente (IResFactory) ni ServicioAutenticacion: son un problema distinto, no se acoplan a productos derivados.</w:t>
            </w:r>
          </w:p>
        </w:tc>
      </w:tr>
      <w:tr>
        <w:trPr>
          <w:cantSplit/>
        </w:trPr>
        <w:tc>
          <w:tcPr>
            <w:tcW w:type="dxa" w:w="16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SC-2 (ya implementado): conectar chips de geolocalización a las reses</w:t>
            </w:r>
          </w:p>
        </w:tc>
        <w:tc>
          <w:tcPr>
            <w:tcW w:type="dxa" w:w="31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Nada estructural: ya existen RegistroGeolocalizacion, IRepositorioGeolocalizacion, RepositorioGeolocalizacionTexto y su decorador RepositorioGeolocalizacionConAuditoria (ver 2.3), cableados en Program.cs.</w:t>
            </w:r>
          </w:p>
        </w:tc>
        <w:tc>
          <w:tcPr>
            <w:tcW w:type="dxa" w:w="31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Únicamente si el negocio pide una regla de validación distinta para la lectura del chip, en ValidadorRegistroGeolocalizacion.</w:t>
            </w:r>
          </w:p>
        </w:tc>
        <w:tc>
          <w:tcPr>
            <w:tcW w:type="dxa" w:w="26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ServicioPotreros ni RepositorioGeolocalizacionTexto: el decorador ya está compuesto en Program.cs, no se debe alterar lo que envuelve.</w:t>
            </w:r>
          </w:p>
        </w:tc>
      </w:tr>
      <w:tr>
        <w:trPr>
          <w:cantSplit/>
        </w:trPr>
        <w:tc>
          <w:tcPr>
            <w:tcW w:type="dxa" w:w="16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SC-3 (ya implementado): agregar un nuevo tipo de evento clínico</w:t>
            </w:r>
          </w:p>
        </w:tc>
        <w:tc>
          <w:tcPr>
            <w:tcW w:type="dxa" w:w="31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Nada estructural: EventoClinico ya admite cualquier tipo y descripción como datos, no como subclases.</w:t>
            </w:r>
          </w:p>
        </w:tc>
        <w:tc>
          <w:tcPr>
            <w:tcW w:type="dxa" w:w="31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Únicamente si el negocio pide una regla de validación específica para el tipo nuevo, en ServicioHistoriaClinica.</w:t>
            </w:r>
          </w:p>
        </w:tc>
        <w:tc>
          <w:tcPr>
            <w:tcW w:type="dxa" w:w="26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RepositorioHistoriaClinicaConAuditoria: ya audita cualquier evento sin distinguir tipo; no depende de la lista de tipos existentes.</w:t>
            </w:r>
          </w:p>
        </w:tc>
      </w:tr>
      <w:tr>
        <w:trPr>
          <w:cantSplit/>
        </w:trPr>
        <w:tc>
          <w:tcPr>
            <w:tcW w:type="dxa" w:w="16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Agregar un rol de usuario nuevo con reglas propias</w:t>
            </w:r>
          </w:p>
        </w:tc>
        <w:tc>
          <w:tcPr>
            <w:tcW w:type="dxa" w:w="31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Una nueva clase que implemente IPoliticaAutorizacion para ese rol.</w:t>
            </w:r>
          </w:p>
        </w:tc>
        <w:tc>
          <w:tcPr>
            <w:tcW w:type="dxa" w:w="31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El registro de políticas en Program.cs, para dar de alta la política nueva.</w:t>
            </w:r>
          </w:p>
        </w:tc>
        <w:tc>
          <w:tcPr>
            <w:tcW w:type="dxa" w:w="2600"/>
            <w:shd w:fill="EAF1FB"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ServicioAutenticacion.cs: ya no conoce reglas concretas, no debe volver a incorporar un condicional por rol.</w:t>
            </w:r>
          </w:p>
        </w:tc>
      </w:tr>
      <w:tr>
        <w:trPr>
          <w:cantSplit/>
        </w:trPr>
        <w:tc>
          <w:tcPr>
            <w:tcW w:type="dxa" w:w="16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Auditar un flujo distinto al de historia clínica (p. ej. dejar rastro de quién registra una venta)</w:t>
            </w:r>
          </w:p>
        </w:tc>
        <w:tc>
          <w:tcPr>
            <w:tcW w:type="dxa" w:w="31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Un decorador nuevo sobre el repositorio correspondiente, siguiendo el mismo contrato que RepositorioHistoriaClinicaConAuditoria.</w:t>
            </w:r>
          </w:p>
        </w:tc>
        <w:tc>
          <w:tcPr>
            <w:tcW w:type="dxa" w:w="31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Program.cs, para componer el decorador nuevo sobre ese flujo.</w:t>
            </w:r>
          </w:p>
        </w:tc>
        <w:tc>
          <w:tcPr>
            <w:tcW w:type="dxa" w:w="2600"/>
            <w:shd w:fill="FFFFFF" w:val="clear"/>
            <w:tcMar>
              <w:top w:type="dxa" w:w="100"/>
              <w:left w:type="dxa" w:w="120"/>
              <w:bottom w:type="dxa" w:w="100"/>
              <w:right w:type="dxa" w:w="120"/>
            </w:tcMar>
            <w:vAlign w:val="top"/>
          </w:tcPr>
          <w:p>
            <w:pPr>
              <w:spacing w:line="260"/>
            </w:pPr>
            <w:r>
              <w:rPr>
                <w:rFonts w:ascii="Calibri" w:cs="Calibri" w:eastAsia="Calibri" w:hAnsi="Calibri"/>
                <w:b w:val="false"/>
                <w:bCs w:val="false"/>
                <w:sz w:val="19"/>
                <w:szCs w:val="19"/>
              </w:rPr>
              <w:t xml:space="preserve">La interfaz del servicio ni los controladores que ya consumen ese flujo: no deben enterarse de que ahora hay una versión decorada.</w:t>
            </w:r>
          </w:p>
        </w:tc>
      </w:tr>
    </w:tbl>
    <w:p>
      <w:pPr>
        <w:spacing w:after="150" w:before="150"/>
      </w:pPr>
    </w:p>
    <w:p>
      <w:pPr>
        <w:pStyle w:val="Heading1"/>
        <w:spacing w:after="150" w:before="300"/>
      </w:pPr>
      <w:r>
        <w:rPr>
          <w:rFonts w:ascii="Calibri" w:cs="Calibri" w:eastAsia="Calibri" w:hAnsi="Calibri"/>
          <w:b/>
          <w:bCs/>
          <w:color w:val="1F3864"/>
          <w:sz w:val="28"/>
          <w:szCs w:val="28"/>
        </w:rPr>
        <w:t xml:space="preserve">6. Deuda técnica pendiente</w:t>
      </w:r>
    </w:p>
    <w:p>
      <w:pPr>
        <w:spacing w:after="150" w:line="300"/>
      </w:pPr>
      <w:r>
        <w:rPr>
          <w:rFonts w:ascii="Calibri" w:cs="Calibri" w:eastAsia="Calibri" w:hAnsi="Calibri"/>
          <w:sz w:val="22"/>
          <w:szCs w:val="22"/>
        </w:rPr>
        <w:t xml:space="preserve">Estos puntos quedan declarados como deuda, no resueltos por esta intervención. El Análisis de Riesgos (Actividad 5 del documento de sustentación) los desarrolla con probabilidad, impacto y señal de alerta; aquí se listan como pendientes para quien vaya a tocar el sistema:</w:t>
      </w:r>
    </w:p>
    <w:p>
      <w:pPr>
        <w:pStyle w:val="ListParagraph"/>
        <w:numPr>
          <w:ilvl w:val="0"/>
          <w:numId w:val="2"/>
        </w:numPr>
        <w:spacing w:after="100" w:line="300"/>
      </w:pPr>
      <w:r>
        <w:rPr>
          <w:rFonts w:ascii="Calibri" w:cs="Calibri" w:eastAsia="Calibri" w:hAnsi="Calibri"/>
          <w:sz w:val="22"/>
          <w:szCs w:val="22"/>
        </w:rPr>
        <w:t xml:space="preserve">El alta de una fábrica nueva en el registro central (IRegistroResFactories) es manual y no se valida en el arranque: si se olvida, el sistema falla la primera vez que alguien intenta usar ese tipo, en producción, no antes.</w:t>
      </w:r>
    </w:p>
    <w:p>
      <w:pPr>
        <w:pStyle w:val="ListParagraph"/>
        <w:numPr>
          <w:ilvl w:val="0"/>
          <w:numId w:val="2"/>
        </w:numPr>
        <w:spacing w:after="100" w:line="300"/>
      </w:pPr>
      <w:r>
        <w:rPr>
          <w:rFonts w:ascii="Calibri" w:cs="Calibri" w:eastAsia="Calibri" w:hAnsi="Calibri"/>
          <w:sz w:val="22"/>
          <w:szCs w:val="22"/>
        </w:rPr>
        <w:t xml:space="preserve">El registro de auditoría de historia clínica atrapa cualquier excepción de forma silenciosa (por diseño, para no romper el flujo principal). Si falla la escritura del archivo de auditoría, nadie se entera hasta que se nota el desfase.</w:t>
      </w:r>
    </w:p>
    <w:p>
      <w:pPr>
        <w:pStyle w:val="ListParagraph"/>
        <w:numPr>
          <w:ilvl w:val="0"/>
          <w:numId w:val="2"/>
        </w:numPr>
        <w:spacing w:after="100" w:line="300"/>
      </w:pPr>
      <w:r>
        <w:rPr>
          <w:rFonts w:ascii="Calibri" w:cs="Calibri" w:eastAsia="Calibri" w:hAnsi="Calibri"/>
          <w:sz w:val="22"/>
          <w:szCs w:val="22"/>
        </w:rPr>
        <w:t xml:space="preserve">No hay ningún mecanismo de exclusión mutua sobre la escritura del archivo de historia clínica ni del archivo de auditoría; dos escrituras concurrentes pueden entrelazarse o perderse.</w:t>
      </w:r>
    </w:p>
    <w:p>
      <w:pPr>
        <w:pStyle w:val="ListParagraph"/>
        <w:numPr>
          <w:ilvl w:val="0"/>
          <w:numId w:val="2"/>
        </w:numPr>
        <w:spacing w:after="100" w:line="300"/>
      </w:pPr>
      <w:r>
        <w:rPr>
          <w:rFonts w:ascii="Calibri" w:cs="Calibri" w:eastAsia="Calibri" w:hAnsi="Calibri"/>
          <w:sz w:val="22"/>
          <w:szCs w:val="22"/>
        </w:rPr>
        <w:t xml:space="preserve">Antes de desplegar este cambio en producción, es obligatorio migrar el archivo de usuarios existente para que todos tengan un rol explícito; si no se hace, cualquier usuario heredado del sistema anterior queda degradado automáticamente al rol de menor privilegio.</w:t>
      </w:r>
    </w:p>
    <w:p>
      <w:pPr>
        <w:pStyle w:val="ListParagraph"/>
        <w:numPr>
          <w:ilvl w:val="0"/>
          <w:numId w:val="2"/>
        </w:numPr>
        <w:spacing w:after="100" w:line="300"/>
      </w:pPr>
      <w:r>
        <w:rPr>
          <w:rFonts w:ascii="Calibri" w:cs="Calibri" w:eastAsia="Calibri" w:hAnsi="Calibri"/>
          <w:sz w:val="22"/>
          <w:szCs w:val="22"/>
        </w:rPr>
        <w:t xml:space="preserve">El punto de dolor sobre la composición de los avisos de ocupación de potreros (P-05) quedó explícitamente sin intervenir: es estable hoy, pero si el negocio agrega una tercera forma de avisar, vale la pena revisarlo de nuevo.</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2026-09-06T02:16:32.846Z</dcterms:created>
  <dcterms:modified xsi:type="dcterms:W3CDTF">2026-09-06T02:16:32.846Z</dcterms:modified>
</cp:coreProperties>
</file>

<file path=docProps/custom.xml><?xml version="1.0" encoding="utf-8"?>
<Properties xmlns="http://schemas.openxmlformats.org/officeDocument/2006/custom-properties" xmlns:vt="http://schemas.openxmlformats.org/officeDocument/2006/docPropsVTypes"/>
</file>